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0" w:after="240" w:line="240" w:lineRule="auto"/>
        <w:jc w:val="center"/>
      </w:pPr>
      <w:r>
        <w:rPr>
          <w:rFonts w:ascii="Arial" w:hAnsi="Arial" w:eastAsia="黑体" w:cs="Arial"/>
          <w:b/>
          <w:color w:val="111111"/>
          <w:sz w:val="44"/>
        </w:rPr>
        <w:t>任相栋-兴全合泰A-配置分析</w:t>
      </w:r>
    </w:p>
    <w:p>
      <w:pPr>
        <w:spacing w:after="40"/>
      </w:pPr>
    </w:p>
    <w:p>
      <w:pPr>
        <w:pStyle w:val="Heading1"/>
        <w:spacing w:before="200" w:after="100" w:line="259" w:lineRule="auto"/>
      </w:pPr>
      <w:r>
        <w:rPr>
          <w:rFonts w:ascii="黑体" w:hAnsi="黑体" w:eastAsia="黑体" w:cs="黑体"/>
          <w:b/>
          <w:sz w:val="30"/>
        </w:rPr>
        <w:t>标签矩阵</w:t>
      </w:r>
    </w:p>
    <w:p>
      <w:pPr>
        <w:pStyle w:val="Heading3"/>
        <w:spacing w:before="140" w:after="60" w:line="259" w:lineRule="auto"/>
      </w:pPr>
      <w:r>
        <w:rPr>
          <w:rFonts w:ascii="黑体" w:hAnsi="黑体" w:eastAsia="黑体" w:cs="黑体"/>
          <w:b/>
          <w:sz w:val="23"/>
        </w:rPr>
        <w:t>一、定量标签</w:t>
      </w:r>
    </w:p>
    <w:p>
      <w:pPr>
        <w:spacing w:before="0" w:after="60" w:line="307" w:lineRule="auto"/>
        <w:ind w:firstLine="480"/>
        <w:jc w:val="both"/>
      </w:pPr>
      <w:r>
        <w:rPr>
          <w:rFonts w:ascii="宋体" w:hAnsi="宋体" w:eastAsia="宋体" w:cs="宋体"/>
          <w:b w:val="0"/>
          <w:sz w:val="24"/>
        </w:rPr>
        <w:t>极致博弈·尖刀仓·低收益/中波/极端深回撤/长跌/尚未修复+中等胜率/极端抱团+行情验证不足（瑕疵：年化波动=中波动，胜率=中等胜率）</w:t>
      </w:r>
    </w:p>
    <w:p>
      <w:pPr>
        <w:pStyle w:val="Heading3"/>
        <w:spacing w:before="140" w:after="60" w:line="259" w:lineRule="auto"/>
      </w:pPr>
      <w:r>
        <w:rPr>
          <w:rFonts w:ascii="黑体" w:hAnsi="黑体" w:eastAsia="黑体" w:cs="黑体"/>
          <w:b/>
          <w:sz w:val="23"/>
        </w:rPr>
        <w:t>二、配置定位：极致博弈·尖刀仓角色</w:t>
      </w:r>
    </w:p>
    <w:p>
      <w:pPr>
        <w:pStyle w:val="Heading3"/>
        <w:spacing w:before="140" w:after="60" w:line="259" w:lineRule="auto"/>
      </w:pPr>
      <w:r>
        <w:rPr>
          <w:rFonts w:ascii="黑体" w:hAnsi="黑体" w:eastAsia="黑体" w:cs="黑体"/>
          <w:b/>
          <w:sz w:val="23"/>
        </w:rPr>
        <w:t>本质定性</w:t>
      </w:r>
    </w:p>
    <w:p>
      <w:pPr>
        <w:spacing w:before="0" w:after="60" w:line="307" w:lineRule="auto"/>
        <w:ind w:firstLine="480"/>
        <w:jc w:val="both"/>
      </w:pPr>
      <w:r>
        <w:rPr>
          <w:rFonts w:ascii="宋体" w:hAnsi="宋体" w:eastAsia="宋体" w:cs="宋体"/>
          <w:b w:val="0"/>
          <w:sz w:val="24"/>
        </w:rPr>
        <w:t>年化收益仅7.98%，最大回撤却达-55.29%，收益风险比严重失衡，本质是</w:t>
      </w:r>
      <w:r>
        <w:rPr>
          <w:rFonts w:ascii="宋体" w:hAnsi="宋体" w:eastAsia="宋体" w:cs="宋体"/>
          <w:b/>
          <w:sz w:val="24"/>
        </w:rPr>
        <w:t>高真实波动但低回报率的弹性品种</w:t>
      </w:r>
      <w:r>
        <w:rPr>
          <w:rFonts w:ascii="宋体" w:hAnsi="宋体" w:eastAsia="宋体" w:cs="宋体"/>
          <w:b w:val="0"/>
          <w:sz w:val="24"/>
        </w:rPr>
        <w:t>。</w:t>
      </w:r>
    </w:p>
    <w:p>
      <w:pPr>
        <w:pStyle w:val="Heading3"/>
        <w:spacing w:before="140" w:after="60" w:line="259" w:lineRule="auto"/>
      </w:pPr>
      <w:r>
        <w:rPr>
          <w:rFonts w:ascii="黑体" w:hAnsi="黑体" w:eastAsia="黑体" w:cs="黑体"/>
          <w:b/>
          <w:sz w:val="23"/>
        </w:rPr>
        <w:t>角色定位</w:t>
      </w:r>
    </w:p>
    <w:p>
      <w:pPr>
        <w:spacing w:before="0" w:after="60" w:line="307" w:lineRule="auto"/>
        <w:ind w:firstLine="480"/>
        <w:jc w:val="both"/>
      </w:pPr>
      <w:r>
        <w:rPr>
          <w:rFonts w:ascii="宋体" w:hAnsi="宋体" w:eastAsia="宋体" w:cs="宋体"/>
          <w:b w:val="0"/>
          <w:sz w:val="24"/>
        </w:rPr>
        <w:t>程序标签将本基金定位为“极致博弈·尖刀仓”。命中项包括：最大回撤=极端深回撤、集中度=极端抱团；瑕疵项包括：年化波动=中波动、胜率=中等胜率。因此，本基金在组合中应按“极致博弈·尖刀仓”使用，具体仓位与搭配需结合后文的收益来源、回撤修复和能力圈边界判断。</w:t>
      </w:r>
    </w:p>
    <w:p>
      <w:pPr>
        <w:pStyle w:val="Heading3"/>
        <w:spacing w:before="140" w:after="60" w:line="259" w:lineRule="auto"/>
      </w:pPr>
      <w:r>
        <w:rPr>
          <w:rFonts w:ascii="黑体" w:hAnsi="黑体" w:eastAsia="黑体" w:cs="黑体"/>
          <w:b/>
          <w:sz w:val="23"/>
        </w:rPr>
        <w:t>周期验证</w:t>
      </w:r>
    </w:p>
    <w:p>
      <w:pPr>
        <w:spacing w:before="0" w:after="60" w:line="307" w:lineRule="auto"/>
        <w:ind w:firstLine="480"/>
        <w:jc w:val="both"/>
      </w:pPr>
      <w:r>
        <w:rPr>
          <w:rFonts w:ascii="宋体" w:hAnsi="宋体" w:eastAsia="宋体" w:cs="宋体"/>
          <w:b w:val="0"/>
          <w:sz w:val="24"/>
        </w:rPr>
        <w:t>任相栋任职区间仅2025.11-2026.3，历史净值显示基金在2020年（+51.5%）和2021年（+24.09%）曾贡献极高弹性，但2022-2023年连续大幅回撤（-24.6%、-16.98%），</w:t>
      </w:r>
      <w:r>
        <w:rPr>
          <w:rFonts w:ascii="宋体" w:hAnsi="宋体" w:eastAsia="宋体" w:cs="宋体"/>
          <w:b/>
          <w:sz w:val="24"/>
        </w:rPr>
        <w:t>行情验证不足</w:t>
      </w:r>
      <w:r>
        <w:rPr>
          <w:rFonts w:ascii="宋体" w:hAnsi="宋体" w:eastAsia="宋体" w:cs="宋体"/>
          <w:b w:val="0"/>
          <w:sz w:val="24"/>
        </w:rPr>
        <w:t>——牛市犀利、熊市惨烈，且尚未修复最大回撤。</w:t>
      </w:r>
    </w:p>
    <w:p>
      <w:pPr>
        <w:pStyle w:val="Heading3"/>
        <w:spacing w:before="140" w:after="60" w:line="259" w:lineRule="auto"/>
      </w:pPr>
      <w:r>
        <w:rPr>
          <w:rFonts w:ascii="黑体" w:hAnsi="黑体" w:eastAsia="黑体" w:cs="黑体"/>
          <w:b/>
          <w:sz w:val="23"/>
        </w:rPr>
        <w:t>三、组合贡献定位</w:t>
      </w:r>
    </w:p>
    <w:p>
      <w:pPr>
        <w:pStyle w:val="Heading3"/>
        <w:spacing w:before="140" w:after="60" w:line="259" w:lineRule="auto"/>
      </w:pPr>
      <w:r>
        <w:rPr>
          <w:rFonts w:ascii="黑体" w:hAnsi="黑体" w:eastAsia="黑体" w:cs="黑体"/>
          <w:b/>
          <w:sz w:val="23"/>
        </w:rPr>
        <w:t>配置价值</w:t>
      </w:r>
    </w:p>
    <w:p>
      <w:pPr>
        <w:spacing w:before="0" w:after="60" w:line="307" w:lineRule="auto"/>
        <w:ind w:firstLine="480"/>
        <w:jc w:val="both"/>
      </w:pPr>
      <w:r>
        <w:rPr>
          <w:rFonts w:ascii="宋体" w:hAnsi="宋体" w:eastAsia="宋体" w:cs="宋体"/>
          <w:b w:val="0"/>
          <w:sz w:val="24"/>
        </w:rPr>
        <w:t>极端抱团带来的</w:t>
      </w:r>
      <w:r>
        <w:rPr>
          <w:rFonts w:ascii="宋体" w:hAnsi="宋体" w:eastAsia="宋体" w:cs="宋体"/>
          <w:b/>
          <w:sz w:val="24"/>
        </w:rPr>
        <w:t>行业集中度最大化</w:t>
      </w:r>
      <w:r>
        <w:rPr>
          <w:rFonts w:ascii="宋体" w:hAnsi="宋体" w:eastAsia="宋体" w:cs="宋体"/>
          <w:b w:val="0"/>
          <w:sz w:val="24"/>
        </w:rPr>
        <w:t>，使其在风口期收益爆发力远超同类，这是组合中稀缺的“不对称弹性”来源——以小仓位赚取牛市超额，同时将回撤损失控制在可接受范围。</w:t>
      </w:r>
    </w:p>
    <w:p>
      <w:pPr>
        <w:pStyle w:val="Heading3"/>
        <w:spacing w:before="140" w:after="60" w:line="259" w:lineRule="auto"/>
      </w:pPr>
      <w:r>
        <w:rPr>
          <w:rFonts w:ascii="黑体" w:hAnsi="黑体" w:eastAsia="黑体" w:cs="黑体"/>
          <w:b/>
          <w:sz w:val="23"/>
        </w:rPr>
        <w:t>协同建议</w:t>
      </w:r>
    </w:p>
    <w:p>
      <w:pPr>
        <w:spacing w:before="0" w:after="60" w:line="307" w:lineRule="auto"/>
        <w:ind w:firstLine="480"/>
        <w:jc w:val="both"/>
      </w:pPr>
      <w:r>
        <w:rPr>
          <w:rFonts w:ascii="宋体" w:hAnsi="宋体" w:eastAsia="宋体" w:cs="宋体"/>
          <w:b w:val="0"/>
          <w:sz w:val="24"/>
        </w:rPr>
        <w:t>若组合已有低波动或均衡型主仓，本基金可补充周期弹性；需搭配</w:t>
      </w:r>
      <w:r>
        <w:rPr>
          <w:rFonts w:ascii="宋体" w:hAnsi="宋体" w:eastAsia="宋体" w:cs="宋体"/>
          <w:b/>
          <w:sz w:val="24"/>
        </w:rPr>
        <w:t>低相关性资产</w:t>
      </w:r>
      <w:r>
        <w:rPr>
          <w:rFonts w:ascii="宋体" w:hAnsi="宋体" w:eastAsia="宋体" w:cs="宋体"/>
          <w:b w:val="0"/>
          <w:sz w:val="24"/>
        </w:rPr>
        <w:t>（如商品、利率债基金）以分散极端抱团带来的单一行业崩溃风险。</w:t>
      </w:r>
    </w:p>
    <w:p>
      <w:pPr>
        <w:pStyle w:val="Heading3"/>
        <w:spacing w:before="140" w:after="60" w:line="259" w:lineRule="auto"/>
      </w:pPr>
      <w:r>
        <w:rPr>
          <w:rFonts w:ascii="黑体" w:hAnsi="黑体" w:eastAsia="黑体" w:cs="黑体"/>
          <w:b/>
          <w:sz w:val="23"/>
        </w:rPr>
        <w:t>不可替代性</w:t>
      </w:r>
    </w:p>
    <w:p>
      <w:pPr>
        <w:spacing w:before="0" w:after="60" w:line="307" w:lineRule="auto"/>
        <w:ind w:firstLine="480"/>
        <w:jc w:val="both"/>
      </w:pPr>
      <w:r>
        <w:rPr>
          <w:rFonts w:ascii="宋体" w:hAnsi="宋体" w:eastAsia="宋体" w:cs="宋体"/>
          <w:b/>
          <w:sz w:val="24"/>
        </w:rPr>
        <w:t>极端深回撤（-55.29%）且未修复</w:t>
      </w:r>
      <w:r>
        <w:rPr>
          <w:rFonts w:ascii="宋体" w:hAnsi="宋体" w:eastAsia="宋体" w:cs="宋体"/>
          <w:b w:val="0"/>
          <w:sz w:val="24"/>
        </w:rPr>
        <w:t>的“伤疤”导致同类基金极少有此风险特征，也意味着一旦市场反转，其向上弹性可能同样极致。</w:t>
      </w:r>
    </w:p>
    <w:p>
      <w:pPr>
        <w:pStyle w:val="Heading3"/>
        <w:spacing w:before="140" w:after="60" w:line="259" w:lineRule="auto"/>
      </w:pPr>
      <w:r>
        <w:rPr>
          <w:rFonts w:ascii="黑体" w:hAnsi="黑体" w:eastAsia="黑体" w:cs="黑体"/>
          <w:b/>
          <w:sz w:val="23"/>
        </w:rPr>
        <w:t>四、操作纪律</w:t>
      </w:r>
    </w:p>
    <w:p>
      <w:pPr>
        <w:pStyle w:val="ListBullet"/>
        <w:spacing w:before="0" w:after="60" w:line="307" w:lineRule="auto"/>
        <w:jc w:val="both"/>
      </w:pPr>
      <w:r>
        <w:rPr>
          <w:rFonts w:ascii="宋体" w:hAnsi="宋体" w:eastAsia="宋体" w:cs="宋体"/>
          <w:b w:val="0"/>
          <w:sz w:val="24"/>
        </w:rPr>
        <w:t>仓位区间：5%-10%，作为组合的“尖兵”而非主力。</w:t>
      </w:r>
    </w:p>
    <w:p>
      <w:pPr>
        <w:pStyle w:val="ListBullet"/>
        <w:spacing w:before="0" w:after="60" w:line="307" w:lineRule="auto"/>
        <w:jc w:val="both"/>
      </w:pPr>
      <w:r>
        <w:rPr>
          <w:rFonts w:ascii="宋体" w:hAnsi="宋体" w:eastAsia="宋体" w:cs="宋体"/>
          <w:b w:val="0"/>
          <w:sz w:val="24"/>
        </w:rPr>
        <w:t>持有周期：1-3年，需在市场相对低位或右侧初期介入。</w:t>
      </w:r>
    </w:p>
    <w:p>
      <w:pPr>
        <w:pStyle w:val="ListBullet"/>
        <w:spacing w:before="0" w:after="60" w:line="307" w:lineRule="auto"/>
        <w:jc w:val="both"/>
      </w:pPr>
      <w:r>
        <w:rPr>
          <w:rFonts w:ascii="宋体" w:hAnsi="宋体" w:eastAsia="宋体" w:cs="宋体"/>
          <w:b w:val="0"/>
          <w:sz w:val="24"/>
        </w:rPr>
        <w:t>买卖时机：设定-15%硬止损；当年度收益贡献超过20%时可逐步止盈。</w:t>
      </w:r>
    </w:p>
    <w:p>
      <w:pPr>
        <w:pStyle w:val="Heading3"/>
        <w:spacing w:before="140" w:after="60" w:line="259" w:lineRule="auto"/>
      </w:pPr>
      <w:r>
        <w:rPr>
          <w:rFonts w:ascii="黑体" w:hAnsi="黑体" w:eastAsia="黑体" w:cs="黑体"/>
          <w:b/>
          <w:sz w:val="23"/>
        </w:rPr>
        <w:t>五、投资风险</w:t>
      </w:r>
    </w:p>
    <w:p>
      <w:pPr>
        <w:pStyle w:val="ListBullet"/>
        <w:spacing w:before="0" w:after="60" w:line="307" w:lineRule="auto"/>
        <w:jc w:val="both"/>
      </w:pPr>
      <w:r>
        <w:rPr>
          <w:rFonts w:ascii="宋体" w:hAnsi="宋体" w:eastAsia="宋体" w:cs="宋体"/>
          <w:b/>
          <w:sz w:val="24"/>
        </w:rPr>
        <w:t>极端深回撤风险</w:t>
      </w:r>
      <w:r>
        <w:rPr>
          <w:rFonts w:ascii="宋体" w:hAnsi="宋体" w:eastAsia="宋体" w:cs="宋体"/>
          <w:b w:val="0"/>
          <w:sz w:val="24"/>
        </w:rPr>
        <w:t>：历史最大回撤-55.29%且尚未修复，若重仓遇到持续下跌，组合净值将遭受重创。</w:t>
      </w:r>
    </w:p>
    <w:p>
      <w:pPr>
        <w:pStyle w:val="ListBullet"/>
        <w:spacing w:before="0" w:after="60" w:line="307" w:lineRule="auto"/>
        <w:jc w:val="both"/>
      </w:pPr>
      <w:r>
        <w:rPr>
          <w:rFonts w:ascii="宋体" w:hAnsi="宋体" w:eastAsia="宋体" w:cs="宋体"/>
          <w:b/>
          <w:sz w:val="24"/>
        </w:rPr>
        <w:t>极端抱团风险</w:t>
      </w:r>
      <w:r>
        <w:rPr>
          <w:rFonts w:ascii="宋体" w:hAnsi="宋体" w:eastAsia="宋体" w:cs="宋体"/>
          <w:b w:val="0"/>
          <w:sz w:val="24"/>
        </w:rPr>
        <w:t>：集中度标签为“极端抱团”，一旦重仓行业或个股崩塌，回撤将远超同类均值。</w:t>
      </w:r>
    </w:p>
    <w:p>
      <w:pPr>
        <w:pStyle w:val="ListBullet"/>
        <w:spacing w:before="0" w:after="60" w:line="307" w:lineRule="auto"/>
        <w:jc w:val="both"/>
      </w:pPr>
      <w:r>
        <w:rPr>
          <w:rFonts w:ascii="宋体" w:hAnsi="宋体" w:eastAsia="宋体" w:cs="宋体"/>
          <w:b/>
          <w:sz w:val="24"/>
        </w:rPr>
        <w:t>收益平庸风险</w:t>
      </w:r>
      <w:r>
        <w:rPr>
          <w:rFonts w:ascii="宋体" w:hAnsi="宋体" w:eastAsia="宋体" w:cs="宋体"/>
          <w:b w:val="0"/>
          <w:sz w:val="24"/>
        </w:rPr>
        <w:t>：年化收益仅7.98%，与承担的高波动不匹配，长期持有可能跑输低风险资产。</w:t>
      </w:r>
    </w:p>
    <w:p>
      <w:pPr>
        <w:pStyle w:val="Heading3"/>
        <w:spacing w:before="140" w:after="60" w:line="259" w:lineRule="auto"/>
      </w:pPr>
      <w:r>
        <w:rPr>
          <w:rFonts w:ascii="黑体" w:hAnsi="黑体" w:eastAsia="黑体" w:cs="黑体"/>
          <w:b/>
          <w:sz w:val="23"/>
        </w:rPr>
        <w:t>六、组合定位画像</w:t>
      </w:r>
    </w:p>
    <w:p>
      <w:r>
        <w:t>主推角色：</w:t>
      </w:r>
    </w:p>
    <w:p>
      <w:r>
        <w:t>极致博弈·尖刀仓</w:t>
      </w:r>
    </w:p>
    <w:p>
      <w:r>
        <w:t>仓位区间：</w:t>
      </w:r>
    </w:p>
    <w:p>
      <w:r>
        <w:t>5%-10%</w:t>
      </w:r>
    </w:p>
    <w:p>
      <w:r>
        <w:t>收益贡献定位：</w:t>
      </w:r>
    </w:p>
    <w:p>
      <w:r>
        <w:t>牛市弹性补充</w:t>
      </w:r>
    </w:p>
    <w:p>
      <w:r>
        <w:t>风险定位：</w:t>
      </w:r>
    </w:p>
    <w:p>
      <w:r>
        <w:t>高弹性放大器</w:t>
      </w:r>
    </w:p>
    <w:p>
      <w:r>
        <w:t>互补搭配方向：</w:t>
      </w:r>
    </w:p>
    <w:p>
      <w:r>
        <w:t>低波稳健型基金，均衡型基金</w:t>
      </w:r>
    </w:p>
    <w:p>
      <w:r>
        <w:t>持有周期建议：</w:t>
      </w:r>
    </w:p>
    <w:p>
      <w:r>
        <w:t>1-3年</w:t>
      </w:r>
    </w:p>
    <w:p>
      <w:r>
        <w:t>启用前提：</w:t>
      </w:r>
    </w:p>
    <w:p>
      <w:r>
        <w:t>组合波动目标≥20% 且投资者能承受-55%回撤</w:t>
      </w:r>
    </w:p>
    <w:p>
      <w:pPr>
        <w:pStyle w:val="Heading3"/>
        <w:spacing w:before="140" w:after="80" w:line="259" w:lineRule="auto"/>
      </w:pPr>
      <w:r>
        <w:rPr>
          <w:rFonts w:ascii="黑体" w:hAnsi="黑体" w:eastAsia="黑体" w:cs="黑体"/>
          <w:b/>
          <w:sz w:val="23"/>
        </w:rPr>
        <w:t>标签来源逻辑核对</w:t>
      </w:r>
    </w:p>
    <w:tbl>
      <w:tblPr>
        <w:tblStyle w:val="TableGrid"/>
        <w:tblW w:type="auto" w:w="0"/>
        <w:tblLook w:firstColumn="1" w:firstRow="1" w:lastColumn="0" w:lastRow="0" w:noHBand="0" w:noVBand="1" w:val="04A0"/>
      </w:tblPr>
      <w:tblGrid>
        <w:gridCol w:w="1672"/>
        <w:gridCol w:w="1672"/>
        <w:gridCol w:w="1672"/>
        <w:gridCol w:w="1672"/>
        <w:gridCol w:w="1672"/>
        <w:gridCol w:w="1672"/>
        <w:gridCol w:w="1672"/>
        <w:gridCol w:w="1672"/>
        <w:gridCol w:w="1672"/>
      </w:tblGrid>
      <w:tr>
        <w:tc>
          <w:tcPr>
            <w:tcW w:type="dxa" w:w="1672"/>
            <w:shd w:fill="F2F4F7"/>
          </w:tcPr>
          <w:p>
            <w:pPr>
              <w:spacing w:before="0" w:after="0" w:line="276" w:lineRule="auto"/>
            </w:pPr>
            <w:r/>
            <w:r>
              <w:rPr>
                <w:rFonts w:ascii="Times New Roman" w:hAnsi="Times New Roman" w:eastAsia="宋体" w:cs="Times New Roman"/>
                <w:b/>
                <w:sz w:val="21"/>
              </w:rPr>
              <w:t>角色</w:t>
            </w:r>
          </w:p>
        </w:tc>
        <w:tc>
          <w:tcPr>
            <w:tcW w:type="dxa" w:w="1672"/>
            <w:shd w:fill="F2F4F7"/>
          </w:tcPr>
          <w:p>
            <w:pPr>
              <w:spacing w:before="0" w:after="0" w:line="276" w:lineRule="auto"/>
            </w:pPr>
            <w:r/>
            <w:r>
              <w:rPr>
                <w:rFonts w:ascii="Times New Roman" w:hAnsi="Times New Roman" w:eastAsia="宋体" w:cs="Times New Roman"/>
                <w:b/>
                <w:sz w:val="21"/>
              </w:rPr>
              <w:t>收益</w:t>
            </w:r>
          </w:p>
        </w:tc>
        <w:tc>
          <w:tcPr>
            <w:tcW w:type="dxa" w:w="1672"/>
            <w:shd w:fill="F2F4F7"/>
          </w:tcPr>
          <w:p>
            <w:pPr>
              <w:spacing w:before="0" w:after="0" w:line="276" w:lineRule="auto"/>
            </w:pPr>
            <w:r/>
            <w:r>
              <w:rPr>
                <w:rFonts w:ascii="Times New Roman" w:hAnsi="Times New Roman" w:eastAsia="宋体" w:cs="Times New Roman"/>
                <w:b/>
                <w:sz w:val="21"/>
              </w:rPr>
              <w:t>波动</w:t>
            </w:r>
          </w:p>
        </w:tc>
        <w:tc>
          <w:tcPr>
            <w:tcW w:type="dxa" w:w="1672"/>
            <w:shd w:fill="F2F4F7"/>
          </w:tcPr>
          <w:p>
            <w:pPr>
              <w:spacing w:before="0" w:after="0" w:line="276" w:lineRule="auto"/>
            </w:pPr>
            <w:r/>
            <w:r>
              <w:rPr>
                <w:rFonts w:ascii="Times New Roman" w:hAnsi="Times New Roman" w:eastAsia="宋体" w:cs="Times New Roman"/>
                <w:b/>
                <w:sz w:val="21"/>
              </w:rPr>
              <w:t>回撤</w:t>
            </w:r>
          </w:p>
        </w:tc>
        <w:tc>
          <w:tcPr>
            <w:tcW w:type="dxa" w:w="1672"/>
            <w:shd w:fill="F2F4F7"/>
          </w:tcPr>
          <w:p>
            <w:pPr>
              <w:spacing w:before="0" w:after="0" w:line="276" w:lineRule="auto"/>
            </w:pPr>
            <w:r/>
            <w:r>
              <w:rPr>
                <w:rFonts w:ascii="Times New Roman" w:hAnsi="Times New Roman" w:eastAsia="宋体" w:cs="Times New Roman"/>
                <w:b/>
                <w:sz w:val="21"/>
              </w:rPr>
              <w:t>修复</w:t>
            </w:r>
          </w:p>
        </w:tc>
        <w:tc>
          <w:tcPr>
            <w:tcW w:type="dxa" w:w="1672"/>
            <w:shd w:fill="F2F4F7"/>
          </w:tcPr>
          <w:p>
            <w:pPr>
              <w:spacing w:before="0" w:after="0" w:line="276" w:lineRule="auto"/>
            </w:pPr>
            <w:r/>
            <w:r>
              <w:rPr>
                <w:rFonts w:ascii="Times New Roman" w:hAnsi="Times New Roman" w:eastAsia="宋体" w:cs="Times New Roman"/>
                <w:b/>
                <w:sz w:val="21"/>
              </w:rPr>
              <w:t>胜率</w:t>
            </w:r>
          </w:p>
        </w:tc>
        <w:tc>
          <w:tcPr>
            <w:tcW w:type="dxa" w:w="1672"/>
            <w:shd w:fill="F2F4F7"/>
          </w:tcPr>
          <w:p>
            <w:pPr>
              <w:spacing w:before="0" w:after="0" w:line="276" w:lineRule="auto"/>
            </w:pPr>
            <w:r/>
            <w:r>
              <w:rPr>
                <w:rFonts w:ascii="Times New Roman" w:hAnsi="Times New Roman" w:eastAsia="宋体" w:cs="Times New Roman"/>
                <w:b/>
                <w:sz w:val="21"/>
              </w:rPr>
              <w:t>依赖</w:t>
            </w:r>
          </w:p>
        </w:tc>
        <w:tc>
          <w:tcPr>
            <w:tcW w:type="dxa" w:w="1672"/>
            <w:shd w:fill="F2F4F7"/>
          </w:tcPr>
          <w:p>
            <w:pPr>
              <w:spacing w:before="0" w:after="0" w:line="276" w:lineRule="auto"/>
            </w:pPr>
            <w:r/>
            <w:r>
              <w:rPr>
                <w:rFonts w:ascii="Times New Roman" w:hAnsi="Times New Roman" w:eastAsia="宋体" w:cs="Times New Roman"/>
                <w:b/>
                <w:sz w:val="21"/>
              </w:rPr>
              <w:t>周期</w:t>
            </w:r>
          </w:p>
        </w:tc>
        <w:tc>
          <w:tcPr>
            <w:tcW w:type="dxa" w:w="1672"/>
            <w:shd w:fill="F2F4F7"/>
          </w:tcPr>
          <w:p>
            <w:pPr>
              <w:spacing w:before="0" w:after="0" w:line="276" w:lineRule="auto"/>
            </w:pPr>
            <w:r/>
            <w:r>
              <w:rPr>
                <w:rFonts w:ascii="Times New Roman" w:hAnsi="Times New Roman" w:eastAsia="宋体" w:cs="Times New Roman"/>
                <w:b/>
                <w:sz w:val="21"/>
              </w:rPr>
              <w:t>结果</w:t>
            </w:r>
          </w:p>
        </w:tc>
      </w:tr>
      <w:tr>
        <w:tc>
          <w:tcPr>
            <w:tcW w:type="dxa" w:w="1672"/>
          </w:tcPr>
          <w:p>
            <w:pPr>
              <w:spacing w:before="0" w:after="0" w:line="276" w:lineRule="auto"/>
            </w:pPr>
            <w:r/>
            <w:r>
              <w:rPr>
                <w:rFonts w:ascii="Times New Roman" w:hAnsi="Times New Roman" w:eastAsia="宋体" w:cs="Times New Roman"/>
                <w:b w:val="0"/>
                <w:sz w:val="21"/>
              </w:rPr>
              <w:t>极致防守·压舱石</w:t>
            </w:r>
          </w:p>
        </w:tc>
        <w:tc>
          <w:tcPr>
            <w:tcW w:type="dxa" w:w="1672"/>
          </w:tcPr>
          <w:p>
            <w:pPr>
              <w:spacing w:before="0" w:after="0" w:line="276" w:lineRule="auto"/>
            </w:pPr>
            <w:r/>
            <w:r>
              <w:rPr>
                <w:rFonts w:ascii="Times New Roman" w:hAnsi="Times New Roman" w:eastAsia="宋体" w:cs="Times New Roman"/>
                <w:b w:val="0"/>
                <w:sz w:val="21"/>
              </w:rPr>
              <w:t>不参与</w:t>
            </w:r>
          </w:p>
        </w:tc>
        <w:tc>
          <w:tcPr>
            <w:tcW w:type="dxa" w:w="1672"/>
          </w:tcPr>
          <w:p>
            <w:pPr>
              <w:spacing w:before="0" w:after="0" w:line="276" w:lineRule="auto"/>
            </w:pPr>
            <w:r/>
            <w:r>
              <w:rPr>
                <w:rFonts w:ascii="Times New Roman" w:hAnsi="Times New Roman" w:eastAsia="宋体" w:cs="Times New Roman"/>
                <w:b w:val="0"/>
                <w:sz w:val="21"/>
              </w:rPr>
              <w:t>×中</w:t>
            </w:r>
          </w:p>
        </w:tc>
        <w:tc>
          <w:tcPr>
            <w:tcW w:type="dxa" w:w="1672"/>
          </w:tcPr>
          <w:p>
            <w:pPr>
              <w:spacing w:before="0" w:after="0" w:line="276" w:lineRule="auto"/>
            </w:pPr>
            <w:r/>
            <w:r>
              <w:rPr>
                <w:rFonts w:ascii="Times New Roman" w:hAnsi="Times New Roman" w:eastAsia="宋体" w:cs="Times New Roman"/>
                <w:b w:val="0"/>
                <w:sz w:val="21"/>
              </w:rPr>
              <w:t>×极端深</w:t>
            </w:r>
          </w:p>
        </w:tc>
        <w:tc>
          <w:tcPr>
            <w:tcW w:type="dxa" w:w="1672"/>
          </w:tcPr>
          <w:p>
            <w:pPr>
              <w:spacing w:before="0" w:after="0" w:line="276" w:lineRule="auto"/>
            </w:pPr>
            <w:r/>
            <w:r>
              <w:rPr>
                <w:rFonts w:ascii="Times New Roman" w:hAnsi="Times New Roman" w:eastAsia="宋体" w:cs="Times New Roman"/>
                <w:b w:val="0"/>
                <w:sz w:val="21"/>
              </w:rPr>
              <w:t>×尚未</w:t>
            </w:r>
          </w:p>
        </w:tc>
        <w:tc>
          <w:tcPr>
            <w:tcW w:type="dxa" w:w="1672"/>
          </w:tcPr>
          <w:p>
            <w:pPr>
              <w:spacing w:before="0" w:after="0" w:line="276" w:lineRule="auto"/>
            </w:pPr>
            <w:r/>
            <w:r>
              <w:rPr>
                <w:rFonts w:ascii="Times New Roman" w:hAnsi="Times New Roman" w:eastAsia="宋体" w:cs="Times New Roman"/>
                <w:b w:val="0"/>
                <w:sz w:val="21"/>
              </w:rPr>
              <w:t>×中等</w:t>
            </w:r>
          </w:p>
        </w:tc>
        <w:tc>
          <w:tcPr>
            <w:tcW w:type="dxa" w:w="1672"/>
          </w:tcPr>
          <w:p>
            <w:pPr>
              <w:spacing w:before="0" w:after="0" w:line="276" w:lineRule="auto"/>
            </w:pPr>
            <w:r/>
            <w:r>
              <w:rPr>
                <w:rFonts w:ascii="Times New Roman" w:hAnsi="Times New Roman" w:eastAsia="宋体" w:cs="Times New Roman"/>
                <w:b w:val="0"/>
                <w:sz w:val="21"/>
              </w:rPr>
              <w:t>×极端抱团</w:t>
            </w:r>
          </w:p>
        </w:tc>
        <w:tc>
          <w:tcPr>
            <w:tcW w:type="dxa" w:w="1672"/>
          </w:tcPr>
          <w:p>
            <w:pPr>
              <w:spacing w:before="0" w:after="0" w:line="276" w:lineRule="auto"/>
            </w:pPr>
            <w:r/>
            <w:r>
              <w:rPr>
                <w:rFonts w:ascii="Times New Roman" w:hAnsi="Times New Roman" w:eastAsia="宋体" w:cs="Times New Roman"/>
                <w:b w:val="0"/>
                <w:sz w:val="21"/>
              </w:rPr>
              <w:t>不参与</w:t>
            </w:r>
          </w:p>
        </w:tc>
        <w:tc>
          <w:tcPr>
            <w:tcW w:type="dxa" w:w="1672"/>
          </w:tcPr>
          <w:p>
            <w:pPr>
              <w:spacing w:before="0" w:after="0" w:line="276" w:lineRule="auto"/>
            </w:pPr>
            <w:r/>
            <w:r>
              <w:rPr>
                <w:rFonts w:ascii="Times New Roman" w:hAnsi="Times New Roman" w:eastAsia="宋体" w:cs="Times New Roman"/>
                <w:b w:val="0"/>
                <w:sz w:val="21"/>
              </w:rPr>
              <w:t>否决</w:t>
            </w:r>
          </w:p>
        </w:tc>
      </w:tr>
      <w:tr>
        <w:tc>
          <w:tcPr>
            <w:tcW w:type="dxa" w:w="1672"/>
          </w:tcPr>
          <w:p>
            <w:pPr>
              <w:spacing w:before="0" w:after="0" w:line="276" w:lineRule="auto"/>
            </w:pPr>
            <w:r/>
            <w:r>
              <w:rPr>
                <w:rFonts w:ascii="Times New Roman" w:hAnsi="Times New Roman" w:eastAsia="宋体" w:cs="Times New Roman"/>
                <w:b w:val="0"/>
                <w:sz w:val="21"/>
              </w:rPr>
              <w:t>全能收益·核心主仓</w:t>
            </w:r>
          </w:p>
        </w:tc>
        <w:tc>
          <w:tcPr>
            <w:tcW w:type="dxa" w:w="1672"/>
          </w:tcPr>
          <w:p>
            <w:pPr>
              <w:spacing w:before="0" w:after="0" w:line="276" w:lineRule="auto"/>
            </w:pPr>
            <w:r/>
            <w:r>
              <w:rPr>
                <w:rFonts w:ascii="Times New Roman" w:hAnsi="Times New Roman" w:eastAsia="宋体" w:cs="Times New Roman"/>
                <w:b w:val="0"/>
                <w:sz w:val="21"/>
              </w:rPr>
              <w:t>×低</w:t>
            </w:r>
          </w:p>
        </w:tc>
        <w:tc>
          <w:tcPr>
            <w:tcW w:type="dxa" w:w="1672"/>
          </w:tcPr>
          <w:p>
            <w:pPr>
              <w:spacing w:before="0" w:after="0" w:line="276" w:lineRule="auto"/>
            </w:pPr>
            <w:r/>
            <w:r>
              <w:rPr>
                <w:rFonts w:ascii="Times New Roman" w:hAnsi="Times New Roman" w:eastAsia="宋体" w:cs="Times New Roman"/>
                <w:b w:val="0"/>
                <w:sz w:val="21"/>
              </w:rPr>
              <w:t>×中</w:t>
            </w:r>
          </w:p>
        </w:tc>
        <w:tc>
          <w:tcPr>
            <w:tcW w:type="dxa" w:w="1672"/>
          </w:tcPr>
          <w:p>
            <w:pPr>
              <w:spacing w:before="0" w:after="0" w:line="276" w:lineRule="auto"/>
            </w:pPr>
            <w:r/>
            <w:r>
              <w:rPr>
                <w:rFonts w:ascii="Times New Roman" w:hAnsi="Times New Roman" w:eastAsia="宋体" w:cs="Times New Roman"/>
                <w:b w:val="0"/>
                <w:sz w:val="21"/>
              </w:rPr>
              <w:t>×极端深</w:t>
            </w:r>
          </w:p>
        </w:tc>
        <w:tc>
          <w:tcPr>
            <w:tcW w:type="dxa" w:w="1672"/>
          </w:tcPr>
          <w:p>
            <w:pPr>
              <w:spacing w:before="0" w:after="0" w:line="276" w:lineRule="auto"/>
            </w:pPr>
            <w:r/>
            <w:r>
              <w:rPr>
                <w:rFonts w:ascii="Times New Roman" w:hAnsi="Times New Roman" w:eastAsia="宋体" w:cs="Times New Roman"/>
                <w:b w:val="0"/>
                <w:sz w:val="21"/>
              </w:rPr>
              <w:t>×尚未</w:t>
            </w:r>
          </w:p>
        </w:tc>
        <w:tc>
          <w:tcPr>
            <w:tcW w:type="dxa" w:w="1672"/>
          </w:tcPr>
          <w:p>
            <w:pPr>
              <w:spacing w:before="0" w:after="0" w:line="276" w:lineRule="auto"/>
            </w:pPr>
            <w:r/>
            <w:r>
              <w:rPr>
                <w:rFonts w:ascii="Times New Roman" w:hAnsi="Times New Roman" w:eastAsia="宋体" w:cs="Times New Roman"/>
                <w:b w:val="0"/>
                <w:sz w:val="21"/>
              </w:rPr>
              <w:t>✓中等</w:t>
            </w:r>
          </w:p>
        </w:tc>
        <w:tc>
          <w:tcPr>
            <w:tcW w:type="dxa" w:w="1672"/>
          </w:tcPr>
          <w:p>
            <w:pPr>
              <w:spacing w:before="0" w:after="0" w:line="276" w:lineRule="auto"/>
            </w:pPr>
            <w:r/>
            <w:r>
              <w:rPr>
                <w:rFonts w:ascii="Times New Roman" w:hAnsi="Times New Roman" w:eastAsia="宋体" w:cs="Times New Roman"/>
                <w:b w:val="0"/>
                <w:sz w:val="21"/>
              </w:rPr>
              <w:t>不参与</w:t>
            </w:r>
          </w:p>
        </w:tc>
        <w:tc>
          <w:tcPr>
            <w:tcW w:type="dxa" w:w="1672"/>
          </w:tcPr>
          <w:p>
            <w:pPr>
              <w:spacing w:before="0" w:after="0" w:line="276" w:lineRule="auto"/>
            </w:pPr>
            <w:r/>
            <w:r>
              <w:rPr>
                <w:rFonts w:ascii="Times New Roman" w:hAnsi="Times New Roman" w:eastAsia="宋体" w:cs="Times New Roman"/>
                <w:b w:val="0"/>
                <w:sz w:val="21"/>
              </w:rPr>
              <w:t>×行情验证不足</w:t>
            </w:r>
          </w:p>
        </w:tc>
        <w:tc>
          <w:tcPr>
            <w:tcW w:type="dxa" w:w="1672"/>
          </w:tcPr>
          <w:p>
            <w:pPr>
              <w:spacing w:before="0" w:after="0" w:line="276" w:lineRule="auto"/>
            </w:pPr>
            <w:r/>
            <w:r>
              <w:rPr>
                <w:rFonts w:ascii="Times New Roman" w:hAnsi="Times New Roman" w:eastAsia="宋体" w:cs="Times New Roman"/>
                <w:b w:val="0"/>
                <w:sz w:val="21"/>
              </w:rPr>
              <w:t>否决</w:t>
            </w:r>
          </w:p>
        </w:tc>
      </w:tr>
      <w:tr>
        <w:tc>
          <w:tcPr>
            <w:tcW w:type="dxa" w:w="1672"/>
          </w:tcPr>
          <w:p>
            <w:pPr>
              <w:spacing w:before="0" w:after="0" w:line="276" w:lineRule="auto"/>
            </w:pPr>
            <w:r/>
            <w:r>
              <w:rPr>
                <w:rFonts w:ascii="Times New Roman" w:hAnsi="Times New Roman" w:eastAsia="宋体" w:cs="Times New Roman"/>
                <w:b w:val="0"/>
                <w:sz w:val="21"/>
              </w:rPr>
              <w:t>震荡友好·稳健中坚</w:t>
            </w:r>
          </w:p>
        </w:tc>
        <w:tc>
          <w:tcPr>
            <w:tcW w:type="dxa" w:w="1672"/>
          </w:tcPr>
          <w:p>
            <w:pPr>
              <w:spacing w:before="0" w:after="0" w:line="276" w:lineRule="auto"/>
            </w:pPr>
            <w:r/>
            <w:r>
              <w:rPr>
                <w:rFonts w:ascii="Times New Roman" w:hAnsi="Times New Roman" w:eastAsia="宋体" w:cs="Times New Roman"/>
                <w:b w:val="0"/>
                <w:sz w:val="21"/>
              </w:rPr>
              <w:t>×低</w:t>
            </w:r>
          </w:p>
        </w:tc>
        <w:tc>
          <w:tcPr>
            <w:tcW w:type="dxa" w:w="1672"/>
          </w:tcPr>
          <w:p>
            <w:pPr>
              <w:spacing w:before="0" w:after="0" w:line="276" w:lineRule="auto"/>
            </w:pPr>
            <w:r/>
            <w:r>
              <w:rPr>
                <w:rFonts w:ascii="Times New Roman" w:hAnsi="Times New Roman" w:eastAsia="宋体" w:cs="Times New Roman"/>
                <w:b w:val="0"/>
                <w:sz w:val="21"/>
              </w:rPr>
              <w:t>×中</w:t>
            </w:r>
          </w:p>
        </w:tc>
        <w:tc>
          <w:tcPr>
            <w:tcW w:type="dxa" w:w="1672"/>
          </w:tcPr>
          <w:p>
            <w:pPr>
              <w:spacing w:before="0" w:after="0" w:line="276" w:lineRule="auto"/>
            </w:pPr>
            <w:r/>
            <w:r>
              <w:rPr>
                <w:rFonts w:ascii="Times New Roman" w:hAnsi="Times New Roman" w:eastAsia="宋体" w:cs="Times New Roman"/>
                <w:b w:val="0"/>
                <w:sz w:val="21"/>
              </w:rPr>
              <w:t>×极端深</w:t>
            </w:r>
          </w:p>
        </w:tc>
        <w:tc>
          <w:tcPr>
            <w:tcW w:type="dxa" w:w="1672"/>
          </w:tcPr>
          <w:p>
            <w:pPr>
              <w:spacing w:before="0" w:after="0" w:line="276" w:lineRule="auto"/>
            </w:pPr>
            <w:r/>
            <w:r>
              <w:rPr>
                <w:rFonts w:ascii="Times New Roman" w:hAnsi="Times New Roman" w:eastAsia="宋体" w:cs="Times New Roman"/>
                <w:b w:val="0"/>
                <w:sz w:val="21"/>
              </w:rPr>
              <w:t>×尚未</w:t>
            </w:r>
          </w:p>
        </w:tc>
        <w:tc>
          <w:tcPr>
            <w:tcW w:type="dxa" w:w="1672"/>
          </w:tcPr>
          <w:p>
            <w:pPr>
              <w:spacing w:before="0" w:after="0" w:line="276" w:lineRule="auto"/>
            </w:pPr>
            <w:r/>
            <w:r>
              <w:rPr>
                <w:rFonts w:ascii="Times New Roman" w:hAnsi="Times New Roman" w:eastAsia="宋体" w:cs="Times New Roman"/>
                <w:b w:val="0"/>
                <w:sz w:val="21"/>
              </w:rPr>
              <w:t>✓中等</w:t>
            </w:r>
          </w:p>
        </w:tc>
        <w:tc>
          <w:tcPr>
            <w:tcW w:type="dxa" w:w="1672"/>
          </w:tcPr>
          <w:p>
            <w:pPr>
              <w:spacing w:before="0" w:after="0" w:line="276" w:lineRule="auto"/>
            </w:pPr>
            <w:r/>
            <w:r>
              <w:rPr>
                <w:rFonts w:ascii="Times New Roman" w:hAnsi="Times New Roman" w:eastAsia="宋体" w:cs="Times New Roman"/>
                <w:b w:val="0"/>
                <w:sz w:val="21"/>
              </w:rPr>
              <w:t>不参与</w:t>
            </w:r>
          </w:p>
        </w:tc>
        <w:tc>
          <w:tcPr>
            <w:tcW w:type="dxa" w:w="1672"/>
          </w:tcPr>
          <w:p>
            <w:pPr>
              <w:spacing w:before="0" w:after="0" w:line="276" w:lineRule="auto"/>
            </w:pPr>
            <w:r/>
            <w:r>
              <w:rPr>
                <w:rFonts w:ascii="Times New Roman" w:hAnsi="Times New Roman" w:eastAsia="宋体" w:cs="Times New Roman"/>
                <w:b w:val="0"/>
                <w:sz w:val="21"/>
              </w:rPr>
              <w:t>×行情验证不足</w:t>
            </w:r>
          </w:p>
        </w:tc>
        <w:tc>
          <w:tcPr>
            <w:tcW w:type="dxa" w:w="1672"/>
          </w:tcPr>
          <w:p>
            <w:pPr>
              <w:spacing w:before="0" w:after="0" w:line="276" w:lineRule="auto"/>
            </w:pPr>
            <w:r/>
            <w:r>
              <w:rPr>
                <w:rFonts w:ascii="Times New Roman" w:hAnsi="Times New Roman" w:eastAsia="宋体" w:cs="Times New Roman"/>
                <w:b w:val="0"/>
                <w:sz w:val="21"/>
              </w:rPr>
              <w:t>否决</w:t>
            </w:r>
          </w:p>
        </w:tc>
      </w:tr>
      <w:tr>
        <w:tc>
          <w:tcPr>
            <w:tcW w:type="dxa" w:w="1672"/>
          </w:tcPr>
          <w:p>
            <w:pPr>
              <w:spacing w:before="0" w:after="0" w:line="276" w:lineRule="auto"/>
            </w:pPr>
            <w:r/>
            <w:r>
              <w:rPr>
                <w:rFonts w:ascii="Times New Roman" w:hAnsi="Times New Roman" w:eastAsia="宋体" w:cs="Times New Roman"/>
                <w:b w:val="0"/>
                <w:sz w:val="21"/>
              </w:rPr>
              <w:t>弹性进攻·卫星仓</w:t>
            </w:r>
          </w:p>
        </w:tc>
        <w:tc>
          <w:tcPr>
            <w:tcW w:type="dxa" w:w="1672"/>
          </w:tcPr>
          <w:p>
            <w:pPr>
              <w:spacing w:before="0" w:after="0" w:line="276" w:lineRule="auto"/>
            </w:pPr>
            <w:r/>
            <w:r>
              <w:rPr>
                <w:rFonts w:ascii="Times New Roman" w:hAnsi="Times New Roman" w:eastAsia="宋体" w:cs="Times New Roman"/>
                <w:b w:val="0"/>
                <w:sz w:val="21"/>
              </w:rPr>
              <w:t>×低</w:t>
            </w:r>
          </w:p>
        </w:tc>
        <w:tc>
          <w:tcPr>
            <w:tcW w:type="dxa" w:w="1672"/>
          </w:tcPr>
          <w:p>
            <w:pPr>
              <w:spacing w:before="0" w:after="0" w:line="276" w:lineRule="auto"/>
            </w:pPr>
            <w:r/>
            <w:r>
              <w:rPr>
                <w:rFonts w:ascii="Times New Roman" w:hAnsi="Times New Roman" w:eastAsia="宋体" w:cs="Times New Roman"/>
                <w:b w:val="0"/>
                <w:sz w:val="21"/>
              </w:rPr>
              <w:t>✓中</w:t>
            </w:r>
          </w:p>
        </w:tc>
        <w:tc>
          <w:tcPr>
            <w:tcW w:type="dxa" w:w="1672"/>
          </w:tcPr>
          <w:p>
            <w:pPr>
              <w:spacing w:before="0" w:after="0" w:line="276" w:lineRule="auto"/>
            </w:pPr>
            <w:r/>
            <w:r>
              <w:rPr>
                <w:rFonts w:ascii="Times New Roman" w:hAnsi="Times New Roman" w:eastAsia="宋体" w:cs="Times New Roman"/>
                <w:b w:val="0"/>
                <w:sz w:val="21"/>
              </w:rPr>
              <w:t>✓极端深</w:t>
            </w:r>
          </w:p>
        </w:tc>
        <w:tc>
          <w:tcPr>
            <w:tcW w:type="dxa" w:w="1672"/>
          </w:tcPr>
          <w:p>
            <w:pPr>
              <w:spacing w:before="0" w:after="0" w:line="276" w:lineRule="auto"/>
            </w:pPr>
            <w:r/>
            <w:r>
              <w:rPr>
                <w:rFonts w:ascii="Times New Roman" w:hAnsi="Times New Roman" w:eastAsia="宋体" w:cs="Times New Roman"/>
                <w:b w:val="0"/>
                <w:sz w:val="21"/>
              </w:rPr>
              <w:t>×尚未</w:t>
            </w:r>
          </w:p>
        </w:tc>
        <w:tc>
          <w:tcPr>
            <w:tcW w:type="dxa" w:w="1672"/>
          </w:tcPr>
          <w:p>
            <w:pPr>
              <w:spacing w:before="0" w:after="0" w:line="276" w:lineRule="auto"/>
            </w:pPr>
            <w:r/>
            <w:r>
              <w:rPr>
                <w:rFonts w:ascii="Times New Roman" w:hAnsi="Times New Roman" w:eastAsia="宋体" w:cs="Times New Roman"/>
                <w:b w:val="0"/>
                <w:sz w:val="21"/>
              </w:rPr>
              <w:t>✓中等</w:t>
            </w:r>
          </w:p>
        </w:tc>
        <w:tc>
          <w:tcPr>
            <w:tcW w:type="dxa" w:w="1672"/>
          </w:tcPr>
          <w:p>
            <w:pPr>
              <w:spacing w:before="0" w:after="0" w:line="276" w:lineRule="auto"/>
            </w:pPr>
            <w:r/>
            <w:r>
              <w:rPr>
                <w:rFonts w:ascii="Times New Roman" w:hAnsi="Times New Roman" w:eastAsia="宋体" w:cs="Times New Roman"/>
                <w:b w:val="0"/>
                <w:sz w:val="21"/>
              </w:rPr>
              <w:t>✓极端抱团</w:t>
            </w:r>
          </w:p>
        </w:tc>
        <w:tc>
          <w:tcPr>
            <w:tcW w:type="dxa" w:w="1672"/>
          </w:tcPr>
          <w:p>
            <w:pPr>
              <w:spacing w:before="0" w:after="0" w:line="276" w:lineRule="auto"/>
            </w:pPr>
            <w:r/>
            <w:r>
              <w:rPr>
                <w:rFonts w:ascii="Times New Roman" w:hAnsi="Times New Roman" w:eastAsia="宋体" w:cs="Times New Roman"/>
                <w:b w:val="0"/>
                <w:sz w:val="21"/>
              </w:rPr>
              <w:t>不参与</w:t>
            </w:r>
          </w:p>
        </w:tc>
        <w:tc>
          <w:tcPr>
            <w:tcW w:type="dxa" w:w="1672"/>
          </w:tcPr>
          <w:p>
            <w:pPr>
              <w:spacing w:before="0" w:after="0" w:line="276" w:lineRule="auto"/>
            </w:pPr>
            <w:r/>
            <w:r>
              <w:rPr>
                <w:rFonts w:ascii="Times New Roman" w:hAnsi="Times New Roman" w:eastAsia="宋体" w:cs="Times New Roman"/>
                <w:b w:val="0"/>
                <w:sz w:val="21"/>
              </w:rPr>
              <w:t>否决</w:t>
            </w:r>
          </w:p>
        </w:tc>
      </w:tr>
      <w:tr>
        <w:tc>
          <w:tcPr>
            <w:tcW w:type="dxa" w:w="1672"/>
          </w:tcPr>
          <w:p>
            <w:pPr>
              <w:spacing w:before="0" w:after="0" w:line="276" w:lineRule="auto"/>
            </w:pPr>
            <w:r/>
            <w:r>
              <w:rPr>
                <w:rFonts w:ascii="Times New Roman" w:hAnsi="Times New Roman" w:eastAsia="宋体" w:cs="Times New Roman"/>
                <w:b w:val="0"/>
                <w:sz w:val="21"/>
              </w:rPr>
              <w:t>极致博弈·尖刀仓</w:t>
            </w:r>
          </w:p>
        </w:tc>
        <w:tc>
          <w:tcPr>
            <w:tcW w:type="dxa" w:w="1672"/>
          </w:tcPr>
          <w:p>
            <w:pPr>
              <w:spacing w:before="0" w:after="0" w:line="276" w:lineRule="auto"/>
            </w:pPr>
            <w:r/>
            <w:r>
              <w:rPr>
                <w:rFonts w:ascii="Times New Roman" w:hAnsi="Times New Roman" w:eastAsia="宋体" w:cs="Times New Roman"/>
                <w:b w:val="0"/>
                <w:sz w:val="21"/>
              </w:rPr>
              <w:t>不参与</w:t>
            </w:r>
          </w:p>
        </w:tc>
        <w:tc>
          <w:tcPr>
            <w:tcW w:type="dxa" w:w="1672"/>
          </w:tcPr>
          <w:p>
            <w:pPr>
              <w:spacing w:before="0" w:after="0" w:line="276" w:lineRule="auto"/>
            </w:pPr>
            <w:r/>
            <w:r>
              <w:rPr>
                <w:rFonts w:ascii="Times New Roman" w:hAnsi="Times New Roman" w:eastAsia="宋体" w:cs="Times New Roman"/>
                <w:b w:val="0"/>
                <w:sz w:val="21"/>
              </w:rPr>
              <w:t>×中</w:t>
            </w:r>
          </w:p>
        </w:tc>
        <w:tc>
          <w:tcPr>
            <w:tcW w:type="dxa" w:w="1672"/>
          </w:tcPr>
          <w:p>
            <w:pPr>
              <w:spacing w:before="0" w:after="0" w:line="276" w:lineRule="auto"/>
            </w:pPr>
            <w:r/>
            <w:r>
              <w:rPr>
                <w:rFonts w:ascii="Times New Roman" w:hAnsi="Times New Roman" w:eastAsia="宋体" w:cs="Times New Roman"/>
                <w:b w:val="0"/>
                <w:sz w:val="21"/>
              </w:rPr>
              <w:t>✓极端深</w:t>
            </w:r>
          </w:p>
        </w:tc>
        <w:tc>
          <w:tcPr>
            <w:tcW w:type="dxa" w:w="1672"/>
          </w:tcPr>
          <w:p>
            <w:pPr>
              <w:spacing w:before="0" w:after="0" w:line="276" w:lineRule="auto"/>
            </w:pPr>
            <w:r/>
            <w:r>
              <w:rPr>
                <w:rFonts w:ascii="Times New Roman" w:hAnsi="Times New Roman" w:eastAsia="宋体" w:cs="Times New Roman"/>
                <w:b w:val="0"/>
                <w:sz w:val="21"/>
              </w:rPr>
              <w:t>不参与</w:t>
            </w:r>
          </w:p>
        </w:tc>
        <w:tc>
          <w:tcPr>
            <w:tcW w:type="dxa" w:w="1672"/>
          </w:tcPr>
          <w:p>
            <w:pPr>
              <w:spacing w:before="0" w:after="0" w:line="276" w:lineRule="auto"/>
            </w:pPr>
            <w:r/>
            <w:r>
              <w:rPr>
                <w:rFonts w:ascii="Times New Roman" w:hAnsi="Times New Roman" w:eastAsia="宋体" w:cs="Times New Roman"/>
                <w:b w:val="0"/>
                <w:sz w:val="21"/>
              </w:rPr>
              <w:t>×中等</w:t>
            </w:r>
          </w:p>
        </w:tc>
        <w:tc>
          <w:tcPr>
            <w:tcW w:type="dxa" w:w="1672"/>
          </w:tcPr>
          <w:p>
            <w:pPr>
              <w:spacing w:before="0" w:after="0" w:line="276" w:lineRule="auto"/>
            </w:pPr>
            <w:r/>
            <w:r>
              <w:rPr>
                <w:rFonts w:ascii="Times New Roman" w:hAnsi="Times New Roman" w:eastAsia="宋体" w:cs="Times New Roman"/>
                <w:b w:val="0"/>
                <w:sz w:val="21"/>
              </w:rPr>
              <w:t>✓极端抱团</w:t>
            </w:r>
          </w:p>
        </w:tc>
        <w:tc>
          <w:tcPr>
            <w:tcW w:type="dxa" w:w="1672"/>
          </w:tcPr>
          <w:p>
            <w:pPr>
              <w:spacing w:before="0" w:after="0" w:line="276" w:lineRule="auto"/>
            </w:pPr>
            <w:r/>
            <w:r>
              <w:rPr>
                <w:rFonts w:ascii="Times New Roman" w:hAnsi="Times New Roman" w:eastAsia="宋体" w:cs="Times New Roman"/>
                <w:b w:val="0"/>
                <w:sz w:val="21"/>
              </w:rPr>
              <w:t>不参与</w:t>
            </w:r>
          </w:p>
        </w:tc>
        <w:tc>
          <w:tcPr>
            <w:tcW w:type="dxa" w:w="1672"/>
          </w:tcPr>
          <w:p>
            <w:pPr>
              <w:spacing w:before="0" w:after="0" w:line="276" w:lineRule="auto"/>
            </w:pPr>
            <w:r/>
            <w:r>
              <w:rPr>
                <w:rFonts w:ascii="Times New Roman" w:hAnsi="Times New Roman" w:eastAsia="宋体" w:cs="Times New Roman"/>
                <w:b w:val="0"/>
                <w:sz w:val="21"/>
              </w:rPr>
              <w:t>2项瑕疵</w:t>
            </w:r>
          </w:p>
        </w:tc>
      </w:tr>
      <w:tr>
        <w:tc>
          <w:tcPr>
            <w:tcW w:type="dxa" w:w="1672"/>
          </w:tcPr>
          <w:p>
            <w:pPr>
              <w:spacing w:before="0" w:after="0" w:line="276" w:lineRule="auto"/>
            </w:pPr>
            <w:r/>
            <w:r>
              <w:rPr>
                <w:rFonts w:ascii="Times New Roman" w:hAnsi="Times New Roman" w:eastAsia="宋体" w:cs="Times New Roman"/>
                <w:b w:val="0"/>
                <w:sz w:val="21"/>
              </w:rPr>
              <w:t>低效鸡肋·替补仓</w:t>
            </w:r>
          </w:p>
        </w:tc>
        <w:tc>
          <w:tcPr>
            <w:tcW w:type="dxa" w:w="1672"/>
          </w:tcPr>
          <w:p>
            <w:pPr>
              <w:spacing w:before="0" w:after="0" w:line="276" w:lineRule="auto"/>
            </w:pPr>
            <w:r/>
            <w:r>
              <w:rPr>
                <w:rFonts w:ascii="Times New Roman" w:hAnsi="Times New Roman" w:eastAsia="宋体" w:cs="Times New Roman"/>
                <w:b w:val="0"/>
                <w:sz w:val="21"/>
              </w:rPr>
              <w:t>✓低</w:t>
            </w:r>
          </w:p>
        </w:tc>
        <w:tc>
          <w:tcPr>
            <w:tcW w:type="dxa" w:w="1672"/>
          </w:tcPr>
          <w:p>
            <w:pPr>
              <w:spacing w:before="0" w:after="0" w:line="276" w:lineRule="auto"/>
            </w:pPr>
            <w:r/>
            <w:r>
              <w:rPr>
                <w:rFonts w:ascii="Times New Roman" w:hAnsi="Times New Roman" w:eastAsia="宋体" w:cs="Times New Roman"/>
                <w:b w:val="0"/>
                <w:sz w:val="21"/>
              </w:rPr>
              <w:t>不参与</w:t>
            </w:r>
          </w:p>
        </w:tc>
        <w:tc>
          <w:tcPr>
            <w:tcW w:type="dxa" w:w="1672"/>
          </w:tcPr>
          <w:p>
            <w:pPr>
              <w:spacing w:before="0" w:after="0" w:line="276" w:lineRule="auto"/>
            </w:pPr>
            <w:r/>
            <w:r>
              <w:rPr>
                <w:rFonts w:ascii="Times New Roman" w:hAnsi="Times New Roman" w:eastAsia="宋体" w:cs="Times New Roman"/>
                <w:b w:val="0"/>
                <w:sz w:val="21"/>
              </w:rPr>
              <w:t>不参与</w:t>
            </w:r>
          </w:p>
        </w:tc>
        <w:tc>
          <w:tcPr>
            <w:tcW w:type="dxa" w:w="1672"/>
          </w:tcPr>
          <w:p>
            <w:pPr>
              <w:spacing w:before="0" w:after="0" w:line="276" w:lineRule="auto"/>
            </w:pPr>
            <w:r/>
            <w:r>
              <w:rPr>
                <w:rFonts w:ascii="Times New Roman" w:hAnsi="Times New Roman" w:eastAsia="宋体" w:cs="Times New Roman"/>
                <w:b w:val="0"/>
                <w:sz w:val="21"/>
              </w:rPr>
              <w:t>×尚未</w:t>
            </w:r>
          </w:p>
        </w:tc>
        <w:tc>
          <w:tcPr>
            <w:tcW w:type="dxa" w:w="1672"/>
          </w:tcPr>
          <w:p>
            <w:pPr>
              <w:spacing w:before="0" w:after="0" w:line="276" w:lineRule="auto"/>
            </w:pPr>
            <w:r/>
            <w:r>
              <w:rPr>
                <w:rFonts w:ascii="Times New Roman" w:hAnsi="Times New Roman" w:eastAsia="宋体" w:cs="Times New Roman"/>
                <w:b w:val="0"/>
                <w:sz w:val="21"/>
              </w:rPr>
              <w:t>×中等</w:t>
            </w:r>
          </w:p>
        </w:tc>
        <w:tc>
          <w:tcPr>
            <w:tcW w:type="dxa" w:w="1672"/>
          </w:tcPr>
          <w:p>
            <w:pPr>
              <w:spacing w:before="0" w:after="0" w:line="276" w:lineRule="auto"/>
            </w:pPr>
            <w:r/>
            <w:r>
              <w:rPr>
                <w:rFonts w:ascii="Times New Roman" w:hAnsi="Times New Roman" w:eastAsia="宋体" w:cs="Times New Roman"/>
                <w:b w:val="0"/>
                <w:sz w:val="21"/>
              </w:rPr>
              <w:t>不参与</w:t>
            </w:r>
          </w:p>
        </w:tc>
        <w:tc>
          <w:tcPr>
            <w:tcW w:type="dxa" w:w="1672"/>
          </w:tcPr>
          <w:p>
            <w:pPr>
              <w:spacing w:before="0" w:after="0" w:line="276" w:lineRule="auto"/>
            </w:pPr>
            <w:r/>
            <w:r>
              <w:rPr>
                <w:rFonts w:ascii="Times New Roman" w:hAnsi="Times New Roman" w:eastAsia="宋体" w:cs="Times New Roman"/>
                <w:b w:val="0"/>
                <w:sz w:val="21"/>
              </w:rPr>
              <w:t>不参与</w:t>
            </w:r>
          </w:p>
        </w:tc>
        <w:tc>
          <w:tcPr>
            <w:tcW w:type="dxa" w:w="1672"/>
          </w:tcPr>
          <w:p>
            <w:pPr>
              <w:spacing w:before="0" w:after="0" w:line="276" w:lineRule="auto"/>
            </w:pPr>
            <w:r/>
            <w:r>
              <w:rPr>
                <w:rFonts w:ascii="Times New Roman" w:hAnsi="Times New Roman" w:eastAsia="宋体" w:cs="Times New Roman"/>
                <w:b w:val="0"/>
                <w:sz w:val="21"/>
              </w:rPr>
              <w:t>否决</w:t>
            </w:r>
          </w:p>
        </w:tc>
      </w:tr>
    </w:tbl>
    <w:p>
      <w:pPr>
        <w:spacing w:before="0" w:after="60" w:line="307" w:lineRule="auto"/>
        <w:ind w:firstLine="480"/>
        <w:jc w:val="both"/>
      </w:pPr>
      <w:r>
        <w:rPr>
          <w:rFonts w:ascii="宋体" w:hAnsi="宋体" w:eastAsia="宋体" w:cs="宋体"/>
          <w:b w:val="0"/>
          <w:sz w:val="24"/>
        </w:rPr>
        <w:t>匹配结论：极致博弈·尖刀仓 为最终标签，但存在 波动=中波动、胜率=中等胜率，因此在标签中标注瑕疵。 最接近但被排除的角色是 弹性进攻·卫星仓，命中 4 项，主要缺口为 收益=低收益、修复=尚未修复。</w:t>
      </w:r>
    </w:p>
    <w:p>
      <w:pPr>
        <w:spacing w:before="0" w:after="60" w:line="307" w:lineRule="auto"/>
        <w:ind w:firstLine="480"/>
        <w:jc w:val="both"/>
      </w:pPr>
      <w:r>
        <w:rPr>
          <w:rFonts w:ascii="宋体" w:hAnsi="宋体" w:eastAsia="宋体" w:cs="宋体"/>
          <w:b w:val="0"/>
          <w:sz w:val="24"/>
        </w:rPr>
        <w:t>“不参与”表示该角色的硬性准入规则未使用该指标，不代表数据缺失。回撤时长已体现在定量标签特征串中，但未参与硬性准入核对。</w:t>
      </w:r>
    </w:p>
    <w:p>
      <w:r>
        <w:br w:type="page"/>
      </w:r>
    </w:p>
    <w:p>
      <w:pPr>
        <w:pStyle w:val="Heading1"/>
        <w:spacing w:before="200" w:after="100" w:line="259" w:lineRule="auto"/>
      </w:pPr>
      <w:r>
        <w:rPr>
          <w:rFonts w:ascii="黑体" w:hAnsi="黑体" w:eastAsia="黑体" w:cs="黑体"/>
          <w:b/>
          <w:sz w:val="30"/>
        </w:rPr>
        <w:t>策略特征</w:t>
      </w:r>
    </w:p>
    <w:p>
      <w:pPr>
        <w:pStyle w:val="Heading3"/>
        <w:spacing w:before="140" w:after="60" w:line="259" w:lineRule="auto"/>
      </w:pPr>
      <w:r>
        <w:rPr>
          <w:rFonts w:ascii="黑体" w:hAnsi="黑体" w:eastAsia="黑体" w:cs="黑体"/>
          <w:b/>
          <w:sz w:val="23"/>
        </w:rPr>
        <w:t>一、策略核心：制造长牛掘金与逆向左侧</w:t>
      </w:r>
    </w:p>
    <w:p>
      <w:pPr>
        <w:spacing w:before="0" w:after="60" w:line="307" w:lineRule="auto"/>
        <w:ind w:firstLine="480"/>
        <w:jc w:val="both"/>
      </w:pPr>
      <w:r>
        <w:rPr>
          <w:rFonts w:ascii="宋体" w:hAnsi="宋体" w:eastAsia="宋体" w:cs="宋体"/>
          <w:b w:val="0"/>
          <w:sz w:val="24"/>
        </w:rPr>
        <w:t>任相栋的策略起点是</w:t>
      </w:r>
      <w:r>
        <w:rPr>
          <w:rFonts w:ascii="宋体" w:hAnsi="宋体" w:eastAsia="宋体" w:cs="宋体"/>
          <w:b/>
          <w:sz w:val="24"/>
        </w:rPr>
        <w:t>大制造领域深耕</w:t>
      </w:r>
      <w:r>
        <w:rPr>
          <w:rFonts w:ascii="宋体" w:hAnsi="宋体" w:eastAsia="宋体" w:cs="宋体"/>
          <w:b w:val="0"/>
          <w:sz w:val="24"/>
        </w:rPr>
        <w:t>，研究覆盖机械、军工、汽车，后拓展至电气设备、AI等，核心认知链条为：从研究周期性制造业的波段机会，转向“自下而上找到长牛股并长期持有”。他坚持“投资的本质是认知的变现”，只赚能力圈内的钱，将“送分题”做到极致。选股锚定有质量的增长——能提升核心竞争力、加深护城河的增长，并用“潮平两岸阔、风正一帆悬”描绘理想标的：行业前景广阔且竞争格局极好。他以</w:t>
      </w:r>
      <w:r>
        <w:rPr>
          <w:rFonts w:ascii="宋体" w:hAnsi="宋体" w:eastAsia="宋体" w:cs="宋体"/>
          <w:b/>
          <w:sz w:val="24"/>
        </w:rPr>
        <w:t>合理估值作为安全垫</w:t>
      </w:r>
      <w:r>
        <w:rPr>
          <w:rFonts w:ascii="宋体" w:hAnsi="宋体" w:eastAsia="宋体" w:cs="宋体"/>
          <w:b w:val="0"/>
          <w:sz w:val="24"/>
        </w:rPr>
        <w:t>，不依赖仓位择时，而是靠个股层面的安全边际缓冲风险。操作上呈现逆向左侧特征：在行业情绪低迷或市场恐慌时加仓，在市场过热时回避高估值资产，宁可短期落后也不追逐泡沫。2024年框架升级为“道术力”三维，平衡长期战略与短期战术，这是其策略适应性的核心迭代。</w:t>
      </w:r>
    </w:p>
    <w:p>
      <w:pPr>
        <w:spacing w:before="0" w:after="60" w:line="307" w:lineRule="auto"/>
        <w:ind w:firstLine="480"/>
        <w:jc w:val="both"/>
      </w:pPr>
      <w:r>
        <w:rPr>
          <w:rFonts w:ascii="宋体" w:hAnsi="宋体" w:eastAsia="宋体" w:cs="宋体"/>
          <w:b w:val="0"/>
          <w:sz w:val="24"/>
        </w:rPr>
        <w:t>引用于</w:t>
      </w:r>
      <w:r>
        <w:rPr>
          <w:rFonts w:ascii="宋体" w:hAnsi="宋体" w:eastAsia="宋体" w:cs="宋体"/>
          <w:b/>
          <w:sz w:val="24"/>
        </w:rPr>
        <w:t>原话</w:t>
      </w:r>
      <w:r>
        <w:rPr>
          <w:rFonts w:ascii="宋体" w:hAnsi="宋体" w:eastAsia="宋体" w:cs="宋体"/>
          <w:b w:val="0"/>
          <w:sz w:val="24"/>
        </w:rPr>
        <w:t>：“护城河的本质就是垄断，包括技术、品牌、渠道三种垄断形式”、“投资的本质是认知的变现”、“潮平两岸阔、风正一帆悬”。</w:t>
      </w:r>
    </w:p>
    <w:p>
      <w:pPr>
        <w:pStyle w:val="Heading3"/>
        <w:spacing w:before="140" w:after="60" w:line="259" w:lineRule="auto"/>
      </w:pPr>
      <w:r>
        <w:rPr>
          <w:rFonts w:ascii="黑体" w:hAnsi="黑体" w:eastAsia="黑体" w:cs="黑体"/>
          <w:b/>
          <w:sz w:val="23"/>
        </w:rPr>
        <w:t>二、策略内核金句</w:t>
      </w:r>
    </w:p>
    <w:p>
      <w:pPr>
        <w:spacing w:before="0" w:after="60" w:line="307" w:lineRule="auto"/>
        <w:ind w:firstLine="480"/>
        <w:jc w:val="both"/>
      </w:pPr>
      <w:r>
        <w:rPr>
          <w:rFonts w:ascii="宋体" w:hAnsi="宋体" w:eastAsia="宋体" w:cs="宋体"/>
          <w:b w:val="0"/>
          <w:sz w:val="24"/>
        </w:rPr>
        <w:t>道术力三维框架 潮平两岸阔 逆向左侧</w:t>
      </w:r>
    </w:p>
    <w:p>
      <w:pPr>
        <w:spacing w:before="0" w:after="60" w:line="307" w:lineRule="auto"/>
        <w:ind w:firstLine="480"/>
        <w:jc w:val="both"/>
      </w:pPr>
      <w:r>
        <w:rPr>
          <w:rFonts w:ascii="宋体" w:hAnsi="宋体" w:eastAsia="宋体" w:cs="宋体"/>
          <w:b w:val="0"/>
          <w:sz w:val="24"/>
        </w:rPr>
        <w:t>“从前的我会用投资之‘道’对抗‘术’，现在重视‘力’的作用。” “在合适的时间，以合适的价格买入一些优质、高质量的标的。” “中国产业升级是当下最大的时代红利。”</w:t>
      </w:r>
    </w:p>
    <w:p>
      <w:pPr>
        <w:pStyle w:val="Heading3"/>
        <w:spacing w:before="140" w:after="60" w:line="259" w:lineRule="auto"/>
      </w:pPr>
      <w:r>
        <w:rPr>
          <w:rFonts w:ascii="黑体" w:hAnsi="黑体" w:eastAsia="黑体" w:cs="黑体"/>
          <w:b/>
          <w:sz w:val="23"/>
        </w:rPr>
        <w:t>三、投资范式</w:t>
      </w:r>
    </w:p>
    <w:p>
      <w:pPr>
        <w:spacing w:before="0" w:after="60" w:line="307" w:lineRule="auto"/>
        <w:ind w:firstLine="480"/>
        <w:jc w:val="both"/>
      </w:pPr>
      <w:r>
        <w:rPr>
          <w:rFonts w:ascii="宋体" w:hAnsi="宋体" w:eastAsia="宋体" w:cs="宋体"/>
          <w:b w:val="0"/>
          <w:sz w:val="24"/>
        </w:rPr>
        <w:t>任相栋策略 = 制造业深耕 + 自下而上选股 + 逆向左侧布局 + 质量估值平衡 + 道术力三维迭代</w:t>
      </w:r>
    </w:p>
    <w:p>
      <w:r>
        <w:br w:type="page"/>
      </w:r>
    </w:p>
    <w:p>
      <w:pPr>
        <w:pStyle w:val="Heading1"/>
        <w:spacing w:before="200" w:after="100" w:line="259" w:lineRule="auto"/>
      </w:pPr>
      <w:r>
        <w:rPr>
          <w:rFonts w:ascii="黑体" w:hAnsi="黑体" w:eastAsia="黑体" w:cs="黑体"/>
          <w:b/>
          <w:sz w:val="30"/>
        </w:rPr>
        <w:t>配置特征</w:t>
      </w:r>
    </w:p>
    <w:p>
      <w:pPr>
        <w:pStyle w:val="Heading3"/>
        <w:spacing w:before="140" w:after="60" w:line="259" w:lineRule="auto"/>
      </w:pPr>
      <w:r>
        <w:rPr>
          <w:rFonts w:ascii="黑体" w:hAnsi="黑体" w:eastAsia="黑体" w:cs="黑体"/>
          <w:b/>
          <w:sz w:val="23"/>
        </w:rPr>
        <w:t>一、组合稳态特征：高仓位窄波，不作宏观择时</w:t>
      </w:r>
    </w:p>
    <w:p>
      <w:pPr>
        <w:spacing w:before="0" w:after="60" w:line="307" w:lineRule="auto"/>
        <w:ind w:firstLine="480"/>
        <w:jc w:val="both"/>
      </w:pPr>
      <w:r>
        <w:rPr>
          <w:rFonts w:ascii="宋体" w:hAnsi="宋体" w:eastAsia="宋体" w:cs="宋体"/>
          <w:b w:val="0"/>
          <w:sz w:val="24"/>
        </w:rPr>
        <w:t>仓位在81%–93%之间波动，最低2024年底81.28%，最高2021年底93.40%。年度换手率从2020年3.20倍降至2022年1.67倍，后回升至2025年4.00倍。极窄的仓位区间说明任相栋基本不做宏观择时，保持组合充分暴露于权益风险。他在多份报告中强调“坚持自下而上选股”，换手率上升主要源于</w:t>
      </w:r>
      <w:r>
        <w:rPr>
          <w:rFonts w:ascii="宋体" w:hAnsi="宋体" w:eastAsia="宋体" w:cs="宋体"/>
          <w:b/>
          <w:sz w:val="24"/>
        </w:rPr>
        <w:t>逆向调结构</w:t>
      </w:r>
      <w:r>
        <w:rPr>
          <w:rFonts w:ascii="宋体" w:hAnsi="宋体" w:eastAsia="宋体" w:cs="宋体"/>
          <w:b w:val="0"/>
          <w:sz w:val="24"/>
        </w:rPr>
        <w:t>过程中的个股置换。</w:t>
      </w:r>
    </w:p>
    <w:p>
      <w:pPr>
        <w:pStyle w:val="Heading3"/>
        <w:spacing w:before="140" w:after="60" w:line="259" w:lineRule="auto"/>
      </w:pPr>
      <w:r>
        <w:rPr>
          <w:rFonts w:ascii="黑体" w:hAnsi="黑体" w:eastAsia="黑体" w:cs="黑体"/>
          <w:b/>
          <w:sz w:val="23"/>
        </w:rPr>
        <w:t>二、行业与个股偏好：制造+TMT长期重仓</w:t>
      </w:r>
    </w:p>
    <w:p>
      <w:pPr>
        <w:spacing w:before="0" w:after="60" w:line="307" w:lineRule="auto"/>
        <w:ind w:firstLine="480"/>
        <w:jc w:val="both"/>
      </w:pPr>
      <w:r>
        <w:rPr>
          <w:rFonts w:ascii="宋体" w:hAnsi="宋体" w:eastAsia="宋体" w:cs="宋体"/>
          <w:b w:val="0"/>
          <w:sz w:val="24"/>
        </w:rPr>
        <w:t>前五大行业高频出现：电子12次、电力设备12次、汽车10次、国防军工7次、有色金属5次。行业集中度从2019年45.72%升至2025年底73.05%，电子单行业占净值24.96%。个股层面，华友钴业和鼎龙股份均出现16次，华鲁恒升14次，科博达12次，裕同科技11次。这些标的集中在新能源、半导体、汽车零部件等</w:t>
      </w:r>
      <w:r>
        <w:rPr>
          <w:rFonts w:ascii="宋体" w:hAnsi="宋体" w:eastAsia="宋体" w:cs="宋体"/>
          <w:b/>
          <w:sz w:val="24"/>
        </w:rPr>
        <w:t>制造+TMT</w:t>
      </w:r>
      <w:r>
        <w:rPr>
          <w:rFonts w:ascii="宋体" w:hAnsi="宋体" w:eastAsia="宋体" w:cs="宋体"/>
          <w:b w:val="0"/>
          <w:sz w:val="24"/>
        </w:rPr>
        <w:t>领域。尽管季报中多次表述“行业配置均衡”，实际持仓并未分散，而是长期锁定产业升级主线。</w:t>
      </w:r>
    </w:p>
    <w:p>
      <w:pPr>
        <w:pStyle w:val="Heading3"/>
        <w:spacing w:before="140" w:after="60" w:line="259" w:lineRule="auto"/>
      </w:pPr>
      <w:r>
        <w:rPr>
          <w:rFonts w:ascii="黑体" w:hAnsi="黑体" w:eastAsia="黑体" w:cs="黑体"/>
          <w:b/>
          <w:sz w:val="23"/>
        </w:rPr>
        <w:t>三、估值审美：PE高位主动收敛，优先高ROE</w:t>
      </w:r>
    </w:p>
    <w:p>
      <w:pPr>
        <w:spacing w:before="0" w:after="60" w:line="307" w:lineRule="auto"/>
        <w:ind w:firstLine="480"/>
        <w:jc w:val="both"/>
      </w:pPr>
      <w:r>
        <w:rPr>
          <w:rFonts w:ascii="宋体" w:hAnsi="宋体" w:eastAsia="宋体" w:cs="宋体"/>
          <w:b w:val="0"/>
          <w:sz w:val="24"/>
        </w:rPr>
        <w:t>加权平均PE从2019年32.38倍升至2020年底80.12倍，随后回落至2024年35.20倍，2025年底反弹至45.66倍。PB在3.25–7.54间波动。ROE从2020年中6.73%升至2021年中14.78%，再降至2023年底7.85%，2024年后回升至12%以上。股息率长期低于1%，仅2024年中达1.72%。组合在高ROE（&gt;12%）的成长股上愿意支付溢价，但估值过高时会主动收敛：2020年他明确“</w:t>
      </w:r>
      <w:r>
        <w:rPr>
          <w:rFonts w:ascii="宋体" w:hAnsi="宋体" w:eastAsia="宋体" w:cs="宋体"/>
          <w:b/>
          <w:sz w:val="24"/>
        </w:rPr>
        <w:t>相对回避高估值资产</w:t>
      </w:r>
      <w:r>
        <w:rPr>
          <w:rFonts w:ascii="宋体" w:hAnsi="宋体" w:eastAsia="宋体" w:cs="宋体"/>
          <w:b w:val="0"/>
          <w:sz w:val="24"/>
        </w:rPr>
        <w:t>”，2021年判断“核心资产泡沫化”，随后PE从80倍降至40倍以下。</w:t>
      </w:r>
    </w:p>
    <w:p>
      <w:pPr>
        <w:pStyle w:val="Heading3"/>
        <w:spacing w:before="140" w:after="60" w:line="259" w:lineRule="auto"/>
      </w:pPr>
      <w:r>
        <w:rPr>
          <w:rFonts w:ascii="黑体" w:hAnsi="黑体" w:eastAsia="黑体" w:cs="黑体"/>
          <w:b/>
          <w:sz w:val="23"/>
        </w:rPr>
        <w:t>四、规模与风格演进：规模先扩后缩，市值中枢上移</w:t>
      </w:r>
    </w:p>
    <w:p>
      <w:pPr>
        <w:spacing w:before="0" w:after="60" w:line="307" w:lineRule="auto"/>
        <w:ind w:firstLine="480"/>
        <w:jc w:val="both"/>
      </w:pPr>
      <w:r>
        <w:rPr>
          <w:rFonts w:ascii="宋体" w:hAnsi="宋体" w:eastAsia="宋体" w:cs="宋体"/>
          <w:b w:val="0"/>
          <w:sz w:val="24"/>
        </w:rPr>
        <w:t>基金规模从2019年82.85亿升至2021年112.27亿高点，2025年底降至48.93亿。加权平均SIZE从2019年3520.64亿骤降至2020年716.40亿（中小盘为主），随后持续上升至2025年4489.34亿，市值偏好明显向大盘迁移。早期偏重中小市值成长股，但随着持仓龙头公司自身成长，自然带动市值中枢上移。他曾在2021年指出“</w:t>
      </w:r>
      <w:r>
        <w:rPr>
          <w:rFonts w:ascii="宋体" w:hAnsi="宋体" w:eastAsia="宋体" w:cs="宋体"/>
          <w:b/>
          <w:sz w:val="24"/>
        </w:rPr>
        <w:t>以‘大市值为美’的风格有演绎过头的趋势</w:t>
      </w:r>
      <w:r>
        <w:rPr>
          <w:rFonts w:ascii="宋体" w:hAnsi="宋体" w:eastAsia="宋体" w:cs="宋体"/>
          <w:b w:val="0"/>
          <w:sz w:val="24"/>
        </w:rPr>
        <w:t>”，但最终持仓仍集中在大盘，反映其选股结果而非刻意风格切换。</w:t>
      </w:r>
    </w:p>
    <w:p>
      <w:pPr>
        <w:pStyle w:val="Heading3"/>
        <w:spacing w:before="140" w:after="60" w:line="259" w:lineRule="auto"/>
      </w:pPr>
      <w:r>
        <w:rPr>
          <w:rFonts w:ascii="黑体" w:hAnsi="黑体" w:eastAsia="黑体" w:cs="黑体"/>
          <w:b/>
          <w:sz w:val="23"/>
        </w:rPr>
        <w:t>五、再平衡机制：逆周期调结构，置换性价比</w:t>
      </w:r>
    </w:p>
    <w:p>
      <w:pPr>
        <w:spacing w:before="0" w:after="60" w:line="307" w:lineRule="auto"/>
        <w:ind w:firstLine="480"/>
        <w:jc w:val="both"/>
      </w:pPr>
      <w:r>
        <w:rPr>
          <w:rFonts w:ascii="宋体" w:hAnsi="宋体" w:eastAsia="宋体" w:cs="宋体"/>
          <w:b w:val="0"/>
          <w:sz w:val="24"/>
        </w:rPr>
        <w:t>季报中多次出现“对市场热点呼应较少”、“减持部分高涨幅品种”。数据印证</w:t>
      </w:r>
      <w:r>
        <w:rPr>
          <w:rFonts w:ascii="宋体" w:hAnsi="宋体" w:eastAsia="宋体" w:cs="宋体"/>
          <w:b/>
          <w:sz w:val="24"/>
        </w:rPr>
        <w:t>逆向调整</w:t>
      </w:r>
      <w:r>
        <w:rPr>
          <w:rFonts w:ascii="宋体" w:hAnsi="宋体" w:eastAsia="宋体" w:cs="宋体"/>
          <w:b w:val="0"/>
          <w:sz w:val="24"/>
        </w:rPr>
        <w:t>特征：2025年下半年大幅加仓TMT（+12.10%）和金融（+2.92%），减仓消费（-6.20%）和制造（-2.25%）。个股层面新进继峰股份、中国平安，退出阿里巴巴-W、华友钴业。再平衡并非机械择时，而是基于估值与产业前景的</w:t>
      </w:r>
      <w:r>
        <w:rPr>
          <w:rFonts w:ascii="宋体" w:hAnsi="宋体" w:eastAsia="宋体" w:cs="宋体"/>
          <w:b/>
          <w:sz w:val="24"/>
        </w:rPr>
        <w:t>置换性价比</w:t>
      </w:r>
      <w:r>
        <w:rPr>
          <w:rFonts w:ascii="宋体" w:hAnsi="宋体" w:eastAsia="宋体" w:cs="宋体"/>
          <w:b w:val="0"/>
          <w:sz w:val="24"/>
        </w:rPr>
        <w:t>：在行业过热时减持、在回调或冷门方向逆势加仓，通过结构性调整控制组合风险。</w:t>
      </w:r>
    </w:p>
    <w:p>
      <w:r>
        <w:br w:type="page"/>
      </w:r>
    </w:p>
    <w:p>
      <w:pPr>
        <w:pStyle w:val="Heading1"/>
        <w:spacing w:before="200" w:after="100" w:line="259" w:lineRule="auto"/>
      </w:pPr>
      <w:r>
        <w:rPr>
          <w:rFonts w:ascii="黑体" w:hAnsi="黑体" w:eastAsia="黑体" w:cs="黑体"/>
          <w:b/>
          <w:sz w:val="30"/>
        </w:rPr>
        <w:t>配置行为</w:t>
      </w:r>
    </w:p>
    <w:p>
      <w:pPr>
        <w:pStyle w:val="Heading3"/>
        <w:spacing w:before="140" w:after="60" w:line="259" w:lineRule="auto"/>
      </w:pPr>
      <w:r>
        <w:rPr>
          <w:rFonts w:ascii="黑体" w:hAnsi="黑体" w:eastAsia="黑体" w:cs="黑体"/>
          <w:b/>
          <w:sz w:val="23"/>
        </w:rPr>
        <w:t>一、大类板块配置：制造+TMT双核，消费从重配到边缘</w:t>
      </w:r>
    </w:p>
    <w:p>
      <w:pPr>
        <w:pStyle w:val="Heading3"/>
        <w:spacing w:before="140" w:after="60" w:line="259" w:lineRule="auto"/>
      </w:pPr>
      <w:r>
        <w:rPr>
          <w:rFonts w:ascii="黑体" w:hAnsi="黑体" w:eastAsia="黑体" w:cs="黑体"/>
          <w:b/>
          <w:sz w:val="23"/>
        </w:rPr>
        <w:t>配置偏好</w:t>
      </w:r>
    </w:p>
    <w:p>
      <w:pPr>
        <w:spacing w:before="0" w:after="60" w:line="307" w:lineRule="auto"/>
        <w:ind w:firstLine="480"/>
        <w:jc w:val="both"/>
      </w:pPr>
      <w:r>
        <w:rPr>
          <w:rFonts w:ascii="宋体" w:hAnsi="宋体" w:eastAsia="宋体" w:cs="宋体"/>
          <w:b w:val="0"/>
          <w:sz w:val="24"/>
        </w:rPr>
        <w:t>任相栋长期超配</w:t>
      </w:r>
      <w:r>
        <w:rPr>
          <w:rFonts w:ascii="宋体" w:hAnsi="宋体" w:eastAsia="宋体" w:cs="宋体"/>
          <w:b/>
          <w:sz w:val="24"/>
        </w:rPr>
        <w:t>制造</w:t>
      </w:r>
      <w:r>
        <w:rPr>
          <w:rFonts w:ascii="宋体" w:hAnsi="宋体" w:eastAsia="宋体" w:cs="宋体"/>
          <w:b w:val="0"/>
          <w:sz w:val="24"/>
        </w:rPr>
        <w:t>与</w:t>
      </w:r>
      <w:r>
        <w:rPr>
          <w:rFonts w:ascii="宋体" w:hAnsi="宋体" w:eastAsia="宋体" w:cs="宋体"/>
          <w:b/>
          <w:sz w:val="24"/>
        </w:rPr>
        <w:t>TMT</w:t>
      </w:r>
      <w:r>
        <w:rPr>
          <w:rFonts w:ascii="宋体" w:hAnsi="宋体" w:eastAsia="宋体" w:cs="宋体"/>
          <w:b w:val="0"/>
          <w:sz w:val="24"/>
        </w:rPr>
        <w:t>两大板块，两类合计在大多数报告期超过50%，2021年末达66.19%，2025年末为69.85%。制造自2021年起稳居第一大重仓，占比在34%–45%之间；TMT次之，区间14%–36%。消费从2020年中高点33.61%持续压缩至2025年末2.78%，金融从未超过4%且常低于1%，是明确回避的板块。</w:t>
      </w:r>
    </w:p>
    <w:p>
      <w:pPr>
        <w:pStyle w:val="Heading3"/>
        <w:spacing w:before="140" w:after="60" w:line="259" w:lineRule="auto"/>
      </w:pPr>
      <w:r>
        <w:rPr>
          <w:rFonts w:ascii="黑体" w:hAnsi="黑体" w:eastAsia="黑体" w:cs="黑体"/>
          <w:b/>
          <w:sz w:val="23"/>
        </w:rPr>
        <w:t>行为特征</w:t>
      </w:r>
    </w:p>
    <w:p>
      <w:pPr>
        <w:spacing w:before="0" w:after="60" w:line="307" w:lineRule="auto"/>
        <w:ind w:firstLine="480"/>
        <w:jc w:val="both"/>
      </w:pPr>
      <w:r>
        <w:rPr>
          <w:rFonts w:ascii="宋体" w:hAnsi="宋体" w:eastAsia="宋体" w:cs="宋体"/>
          <w:b w:val="0"/>
          <w:sz w:val="24"/>
        </w:rPr>
        <w:t>大类层面换手频率中等偏降，但个别时点调整幅度极大。2020年年中消费占比骤升（16.49%→33.61%），随后四年单边减仓；2025年下半年在半年内将TMT从23.33%大幅加至35.43%（↑12.10%），同时消费再降6.20%。这种“缓坡减仓+急斜坡加仓”的节奏，说明任相栋不是做频繁的大类轮动，而是识别出长期趋势后集中执行。</w:t>
      </w:r>
    </w:p>
    <w:p>
      <w:pPr>
        <w:pStyle w:val="Heading3"/>
        <w:spacing w:before="140" w:after="60" w:line="259" w:lineRule="auto"/>
      </w:pPr>
      <w:r>
        <w:rPr>
          <w:rFonts w:ascii="黑体" w:hAnsi="黑体" w:eastAsia="黑体" w:cs="黑体"/>
          <w:b/>
          <w:sz w:val="23"/>
        </w:rPr>
        <w:t>核心结论</w:t>
      </w:r>
    </w:p>
    <w:p>
      <w:pPr>
        <w:spacing w:before="0" w:after="60" w:line="307" w:lineRule="auto"/>
        <w:ind w:firstLine="480"/>
        <w:jc w:val="both"/>
      </w:pPr>
      <w:r>
        <w:rPr>
          <w:rFonts w:ascii="宋体" w:hAnsi="宋体" w:eastAsia="宋体" w:cs="宋体"/>
          <w:b w:val="0"/>
          <w:sz w:val="24"/>
        </w:rPr>
        <w:t>大类配置以</w:t>
      </w:r>
      <w:r>
        <w:rPr>
          <w:rFonts w:ascii="宋体" w:hAnsi="宋体" w:eastAsia="宋体" w:cs="宋体"/>
          <w:b/>
          <w:sz w:val="24"/>
        </w:rPr>
        <w:t>制造+TMT为基本盘</w:t>
      </w:r>
      <w:r>
        <w:rPr>
          <w:rFonts w:ascii="宋体" w:hAnsi="宋体" w:eastAsia="宋体" w:cs="宋体"/>
          <w:b w:val="0"/>
          <w:sz w:val="24"/>
        </w:rPr>
        <w:t>，消费和金融长期低配，调整时敢于重手，节奏上“长持少动、关键时点大动”。</w:t>
      </w:r>
    </w:p>
    <w:p>
      <w:pPr>
        <w:pStyle w:val="Heading3"/>
        <w:spacing w:before="140" w:after="60" w:line="259" w:lineRule="auto"/>
      </w:pPr>
      <w:r>
        <w:rPr>
          <w:rFonts w:ascii="黑体" w:hAnsi="黑体" w:eastAsia="黑体" w:cs="黑体"/>
          <w:b/>
          <w:sz w:val="23"/>
        </w:rPr>
        <w:t>二、一级行业配置：电子+电力设备为轴，汽车持续加仓反成最大亏损源</w:t>
      </w:r>
    </w:p>
    <w:p>
      <w:pPr>
        <w:pStyle w:val="Heading3"/>
        <w:spacing w:before="140" w:after="60" w:line="259" w:lineRule="auto"/>
      </w:pPr>
      <w:r>
        <w:rPr>
          <w:rFonts w:ascii="黑体" w:hAnsi="黑体" w:eastAsia="黑体" w:cs="黑体"/>
          <w:b/>
          <w:sz w:val="23"/>
        </w:rPr>
        <w:t>配置偏好</w:t>
      </w:r>
    </w:p>
    <w:p>
      <w:pPr>
        <w:spacing w:before="0" w:after="60" w:line="307" w:lineRule="auto"/>
        <w:ind w:firstLine="480"/>
        <w:jc w:val="both"/>
      </w:pPr>
      <w:r>
        <w:rPr>
          <w:rFonts w:ascii="宋体" w:hAnsi="宋体" w:eastAsia="宋体" w:cs="宋体"/>
          <w:b w:val="0"/>
          <w:sz w:val="24"/>
        </w:rPr>
        <w:t>电子是任相栋最偏爱的行业，从2019年末8.99%一路升至2025年末24.96%，连续将近六年保持第一大或前两大重仓。电力设备（制造核心）长期重配，2020–2022年间维持11%–16%。汽车行业自2021年起不断加仓，至2025年末占比18.27%，仅次于电子。回避行业明显：银行与非银金融合计从未超过5%，医药生物从2019年9.19%降至2025年约0.9%。</w:t>
      </w:r>
    </w:p>
    <w:p>
      <w:pPr>
        <w:pStyle w:val="Heading3"/>
        <w:spacing w:before="140" w:after="60" w:line="259" w:lineRule="auto"/>
      </w:pPr>
      <w:r>
        <w:rPr>
          <w:rFonts w:ascii="黑体" w:hAnsi="黑体" w:eastAsia="黑体" w:cs="黑体"/>
          <w:b/>
          <w:sz w:val="23"/>
        </w:rPr>
        <w:t>行为特征</w:t>
      </w:r>
    </w:p>
    <w:p>
      <w:pPr>
        <w:spacing w:before="0" w:after="60" w:line="307" w:lineRule="auto"/>
        <w:ind w:firstLine="480"/>
        <w:jc w:val="both"/>
      </w:pPr>
      <w:r>
        <w:rPr>
          <w:rFonts w:ascii="宋体" w:hAnsi="宋体" w:eastAsia="宋体" w:cs="宋体"/>
          <w:b w:val="0"/>
          <w:sz w:val="24"/>
        </w:rPr>
        <w:t>行业调整方向清晰但有延迟。电子在2022年从22.60%降至12.14%后又持续加回，体现出对产业趋势的长期信心。2025下半年大幅加仓通信（0→5.88%）、基础化工（↑3.01%），减仓医药（↓3.66%）、有色金属（↓3.41%），属于顺势调结构。汽车行业从2020年3.88%持续加至2025年18.27%，但汽车板块累计亏损-71,633万元，是全组合最大亏损项，说明任相栋对汽车持有极强的信念，不因短期亏损减仓。</w:t>
      </w:r>
    </w:p>
    <w:p>
      <w:pPr>
        <w:pStyle w:val="Heading3"/>
        <w:spacing w:before="140" w:after="60" w:line="259" w:lineRule="auto"/>
      </w:pPr>
      <w:r>
        <w:rPr>
          <w:rFonts w:ascii="黑体" w:hAnsi="黑体" w:eastAsia="黑体" w:cs="黑体"/>
          <w:b/>
          <w:sz w:val="23"/>
        </w:rPr>
        <w:t>核心结论</w:t>
      </w:r>
    </w:p>
    <w:p>
      <w:pPr>
        <w:spacing w:before="0" w:after="60" w:line="307" w:lineRule="auto"/>
        <w:ind w:firstLine="480"/>
        <w:jc w:val="both"/>
      </w:pPr>
      <w:r>
        <w:rPr>
          <w:rFonts w:ascii="宋体" w:hAnsi="宋体" w:eastAsia="宋体" w:cs="宋体"/>
          <w:b w:val="0"/>
          <w:sz w:val="24"/>
        </w:rPr>
        <w:t>行业配置呈现“核心重仓长持+边缘周期套利”，对电子和汽车高度执着，汽车成为长期信念的代价。</w:t>
      </w:r>
    </w:p>
    <w:p>
      <w:pPr>
        <w:pStyle w:val="Heading3"/>
        <w:spacing w:before="140" w:after="60" w:line="259" w:lineRule="auto"/>
      </w:pPr>
      <w:r>
        <w:rPr>
          <w:rFonts w:ascii="黑体" w:hAnsi="黑体" w:eastAsia="黑体" w:cs="黑体"/>
          <w:b/>
          <w:sz w:val="23"/>
        </w:rPr>
        <w:t>三、二级行业配置：数据未公开披露，难以独立分析</w:t>
      </w:r>
    </w:p>
    <w:p>
      <w:pPr>
        <w:spacing w:before="0" w:after="60" w:line="307" w:lineRule="auto"/>
        <w:ind w:firstLine="480"/>
        <w:jc w:val="both"/>
      </w:pPr>
      <w:r>
        <w:rPr>
          <w:rFonts w:ascii="宋体" w:hAnsi="宋体" w:eastAsia="宋体" w:cs="宋体"/>
          <w:b w:val="0"/>
          <w:sz w:val="24"/>
        </w:rPr>
        <w:t>素材未提供申万二级行业明细，无法对细分方向做归因。从一级行业结构反推，任相栋在</w:t>
      </w:r>
      <w:r>
        <w:rPr>
          <w:rFonts w:ascii="宋体" w:hAnsi="宋体" w:eastAsia="宋体" w:cs="宋体"/>
          <w:b/>
          <w:sz w:val="24"/>
        </w:rPr>
        <w:t>电子</w:t>
      </w:r>
      <w:r>
        <w:rPr>
          <w:rFonts w:ascii="宋体" w:hAnsi="宋体" w:eastAsia="宋体" w:cs="宋体"/>
          <w:b w:val="0"/>
          <w:sz w:val="24"/>
        </w:rPr>
        <w:t>中大概率侧重于半导体与消费电子（个股涵盖鼎龙股份、电连技术），在</w:t>
      </w:r>
      <w:r>
        <w:rPr>
          <w:rFonts w:ascii="宋体" w:hAnsi="宋体" w:eastAsia="宋体" w:cs="宋体"/>
          <w:b/>
          <w:sz w:val="24"/>
        </w:rPr>
        <w:t>汽车</w:t>
      </w:r>
      <w:r>
        <w:rPr>
          <w:rFonts w:ascii="宋体" w:hAnsi="宋体" w:eastAsia="宋体" w:cs="宋体"/>
          <w:b w:val="0"/>
          <w:sz w:val="24"/>
        </w:rPr>
        <w:t>中聚焦零部件与智能驾驶（覆盖继峰股份、科博达），在</w:t>
      </w:r>
      <w:r>
        <w:rPr>
          <w:rFonts w:ascii="宋体" w:hAnsi="宋体" w:eastAsia="宋体" w:cs="宋体"/>
          <w:b/>
          <w:sz w:val="24"/>
        </w:rPr>
        <w:t>电力设备</w:t>
      </w:r>
      <w:r>
        <w:rPr>
          <w:rFonts w:ascii="宋体" w:hAnsi="宋体" w:eastAsia="宋体" w:cs="宋体"/>
          <w:b w:val="0"/>
          <w:sz w:val="24"/>
        </w:rPr>
        <w:t>中重仓锂电设备与光伏（先导智能、隆基绿能）。二级层面的调仓行动隐含在一级行业变动中，无额外独立特征。</w:t>
      </w:r>
    </w:p>
    <w:p>
      <w:pPr>
        <w:pStyle w:val="Heading3"/>
        <w:spacing w:before="140" w:after="60" w:line="259" w:lineRule="auto"/>
      </w:pPr>
      <w:r>
        <w:rPr>
          <w:rFonts w:ascii="黑体" w:hAnsi="黑体" w:eastAsia="黑体" w:cs="黑体"/>
          <w:b/>
          <w:sz w:val="23"/>
        </w:rPr>
        <w:t>四、重仓个股配置：集中度高，港股常态化，加减仓依托估值纪律</w:t>
      </w:r>
    </w:p>
    <w:p>
      <w:pPr>
        <w:pStyle w:val="Heading3"/>
        <w:spacing w:before="140" w:after="60" w:line="259" w:lineRule="auto"/>
      </w:pPr>
      <w:r>
        <w:rPr>
          <w:rFonts w:ascii="黑体" w:hAnsi="黑体" w:eastAsia="黑体" w:cs="黑体"/>
          <w:b/>
          <w:sz w:val="23"/>
        </w:rPr>
        <w:t>配置偏好</w:t>
      </w:r>
    </w:p>
    <w:p>
      <w:pPr>
        <w:spacing w:before="0" w:after="60" w:line="307" w:lineRule="auto"/>
        <w:ind w:firstLine="480"/>
        <w:jc w:val="both"/>
      </w:pPr>
      <w:r>
        <w:rPr>
          <w:rFonts w:ascii="宋体" w:hAnsi="宋体" w:eastAsia="宋体" w:cs="宋体"/>
          <w:b w:val="0"/>
          <w:sz w:val="24"/>
        </w:rPr>
        <w:t>前十大合计占比约50%–60%，偏好制造业细分龙头（鼎龙股份、电连技术、华鲁恒升）和港股科技（理想汽车-W、腾讯控股）。个股集中度中等偏高，2025年末第一大电连技术8.86%，第二大理想汽车8.59%，两者合计17.45%。港股长期占一席以上。</w:t>
      </w:r>
    </w:p>
    <w:p>
      <w:pPr>
        <w:pStyle w:val="Heading3"/>
        <w:spacing w:before="140" w:after="60" w:line="259" w:lineRule="auto"/>
      </w:pPr>
      <w:r>
        <w:rPr>
          <w:rFonts w:ascii="黑体" w:hAnsi="黑体" w:eastAsia="黑体" w:cs="黑体"/>
          <w:b/>
          <w:sz w:val="23"/>
        </w:rPr>
        <w:t>行为特征</w:t>
      </w:r>
    </w:p>
    <w:p>
      <w:pPr>
        <w:spacing w:before="0" w:after="60" w:line="307" w:lineRule="auto"/>
        <w:ind w:firstLine="480"/>
        <w:jc w:val="both"/>
      </w:pPr>
      <w:r>
        <w:rPr>
          <w:rFonts w:ascii="宋体" w:hAnsi="宋体" w:eastAsia="宋体" w:cs="宋体"/>
          <w:b w:val="0"/>
          <w:sz w:val="24"/>
        </w:rPr>
        <w:t>持股周期较长：华鲁恒升、电连技术、鼎龙股份等在组合中出现多个完整年度。增减仓时点与估值信号吻合——2021年一季报明确指出“减持了部分高涨幅品种”，2025年下半年减仓理想汽车（↓1.31%）、科博达（↓0.64%），同时新进继峰股份、中国平安、新易盛，结合前期退出阿里巴巴-W、华友钴业，反映任相栋在自下而上选股基础上会因估值和预期收益空间主动调整仓位。</w:t>
      </w:r>
    </w:p>
    <w:p>
      <w:pPr>
        <w:pStyle w:val="Heading3"/>
        <w:spacing w:before="140" w:after="60" w:line="259" w:lineRule="auto"/>
      </w:pPr>
      <w:r>
        <w:rPr>
          <w:rFonts w:ascii="黑体" w:hAnsi="黑体" w:eastAsia="黑体" w:cs="黑体"/>
          <w:b/>
          <w:sz w:val="23"/>
        </w:rPr>
        <w:t>核心结论</w:t>
      </w:r>
    </w:p>
    <w:p>
      <w:pPr>
        <w:spacing w:before="0" w:after="60" w:line="307" w:lineRule="auto"/>
        <w:ind w:firstLine="480"/>
        <w:jc w:val="both"/>
      </w:pPr>
      <w:r>
        <w:rPr>
          <w:rFonts w:ascii="宋体" w:hAnsi="宋体" w:eastAsia="宋体" w:cs="宋体"/>
          <w:b w:val="0"/>
          <w:sz w:val="24"/>
        </w:rPr>
        <w:t>个股配置</w:t>
      </w:r>
      <w:r>
        <w:rPr>
          <w:rFonts w:ascii="宋体" w:hAnsi="宋体" w:eastAsia="宋体" w:cs="宋体"/>
          <w:b/>
          <w:sz w:val="24"/>
        </w:rPr>
        <w:t>长期持有核心标的+动态基于估值调仓</w:t>
      </w:r>
      <w:r>
        <w:rPr>
          <w:rFonts w:ascii="宋体" w:hAnsi="宋体" w:eastAsia="宋体" w:cs="宋体"/>
          <w:b w:val="0"/>
          <w:sz w:val="24"/>
        </w:rPr>
        <w:t>，港股常态化持有，换手率不低但换仓逻辑清晰，对亏损标的（如汽车股）仍保留大仓位，体现了对选股胜率的执着。</w:t>
      </w:r>
    </w:p>
    <w:p>
      <w:pPr>
        <w:pStyle w:val="Heading3"/>
        <w:spacing w:before="140" w:after="60" w:line="259" w:lineRule="auto"/>
      </w:pPr>
      <w:r>
        <w:rPr>
          <w:rFonts w:ascii="黑体" w:hAnsi="黑体" w:eastAsia="黑体" w:cs="黑体"/>
          <w:b/>
          <w:sz w:val="23"/>
        </w:rPr>
        <w:t>五、总结</w:t>
      </w:r>
    </w:p>
    <w:p>
      <w:pPr>
        <w:spacing w:before="0" w:after="60" w:line="307" w:lineRule="auto"/>
        <w:ind w:firstLine="480"/>
        <w:jc w:val="both"/>
      </w:pPr>
      <w:r>
        <w:rPr>
          <w:rFonts w:ascii="宋体" w:hAnsi="宋体" w:eastAsia="宋体" w:cs="宋体"/>
          <w:b w:val="0"/>
          <w:sz w:val="24"/>
        </w:rPr>
        <w:t>任相栋以</w:t>
      </w:r>
      <w:r>
        <w:rPr>
          <w:rFonts w:ascii="宋体" w:hAnsi="宋体" w:eastAsia="宋体" w:cs="宋体"/>
          <w:b/>
          <w:sz w:val="24"/>
        </w:rPr>
        <w:t>制造+TMT为长期底仓</w:t>
      </w:r>
      <w:r>
        <w:rPr>
          <w:rFonts w:ascii="宋体" w:hAnsi="宋体" w:eastAsia="宋体" w:cs="宋体"/>
          <w:b w:val="0"/>
          <w:sz w:val="24"/>
        </w:rPr>
        <w:t>，消费和金融长期低配，在2025年下半年集中加仓TMT至历史新高，消费则近乎清仓；一级行业重仓电子、汽车、电力设备，汽车成为最大亏损项但未见放弃；个股层面坚持自下而上，持仓周期较长，调仓依托估值纪律而非追热点。整体配置行为体现出</w:t>
      </w:r>
      <w:r>
        <w:rPr>
          <w:rFonts w:ascii="宋体" w:hAnsi="宋体" w:eastAsia="宋体" w:cs="宋体"/>
          <w:b/>
          <w:sz w:val="24"/>
        </w:rPr>
        <w:t>方向坚定、调整果断、对信念标的不轻易止损</w:t>
      </w:r>
      <w:r>
        <w:rPr>
          <w:rFonts w:ascii="宋体" w:hAnsi="宋体" w:eastAsia="宋体" w:cs="宋体"/>
          <w:b w:val="0"/>
          <w:sz w:val="24"/>
        </w:rPr>
        <w:t>的混合型风格。</w:t>
      </w:r>
    </w:p>
    <w:p>
      <w:pPr>
        <w:pStyle w:val="Heading3"/>
        <w:spacing w:before="140" w:after="60" w:line="259" w:lineRule="auto"/>
      </w:pPr>
      <w:r>
        <w:rPr>
          <w:rFonts w:ascii="黑体" w:hAnsi="黑体" w:eastAsia="黑体" w:cs="黑体"/>
          <w:b/>
          <w:sz w:val="23"/>
        </w:rPr>
        <w:t>六、长周期视角下配置能力评价</w:t>
      </w:r>
    </w:p>
    <w:p>
      <w:pPr>
        <w:pStyle w:val="Heading3"/>
        <w:spacing w:before="140" w:after="60" w:line="259" w:lineRule="auto"/>
      </w:pPr>
      <w:r>
        <w:rPr>
          <w:rFonts w:ascii="黑体" w:hAnsi="黑体" w:eastAsia="黑体" w:cs="黑体"/>
          <w:b/>
          <w:sz w:val="23"/>
        </w:rPr>
        <w:t>成功案例：华鲁恒升</w:t>
      </w:r>
    </w:p>
    <w:p>
      <w:pPr>
        <w:spacing w:before="0" w:after="60" w:line="307" w:lineRule="auto"/>
        <w:ind w:firstLine="480"/>
        <w:jc w:val="both"/>
      </w:pPr>
      <w:r>
        <w:rPr>
          <w:rFonts w:ascii="宋体" w:hAnsi="宋体" w:eastAsia="宋体" w:cs="宋体"/>
          <w:b w:val="0"/>
          <w:sz w:val="24"/>
        </w:rPr>
        <w:t>华鲁恒升累计盈利31,729万元，是全组合单只收益最高的个股。任相栋自2020年起持续重仓，期间历经周期波动始终未大幅减持，最终在基础化工板块获得超额回报。证明其自下而上选股在周期制造领域具有长期挖掘能力。</w:t>
      </w:r>
    </w:p>
    <w:p>
      <w:pPr>
        <w:pStyle w:val="Heading3"/>
        <w:spacing w:before="140" w:after="60" w:line="259" w:lineRule="auto"/>
      </w:pPr>
      <w:r>
        <w:rPr>
          <w:rFonts w:ascii="黑体" w:hAnsi="黑体" w:eastAsia="黑体" w:cs="黑体"/>
          <w:b/>
          <w:sz w:val="23"/>
        </w:rPr>
        <w:t>失败案例：汽车板块</w:t>
      </w:r>
    </w:p>
    <w:p>
      <w:pPr>
        <w:spacing w:before="0" w:after="60" w:line="307" w:lineRule="auto"/>
        <w:ind w:firstLine="480"/>
        <w:jc w:val="both"/>
      </w:pPr>
      <w:r>
        <w:rPr>
          <w:rFonts w:ascii="宋体" w:hAnsi="宋体" w:eastAsia="宋体" w:cs="宋体"/>
          <w:b w:val="0"/>
          <w:sz w:val="24"/>
        </w:rPr>
        <w:t>汽车行业累计亏损-71,633万元，是组合亏损最大的行业。任相栋从2021年起大幅加仓汽车，2025年末占比仍高达18.27%，但继峰股份（-1,303万）、理想汽车-W等多只个股深度亏损。说明他在高信念方向上的容忍度极高，但也付出了超额集中的代价。</w:t>
      </w:r>
    </w:p>
    <w:p>
      <w:pPr>
        <w:pStyle w:val="Heading3"/>
        <w:spacing w:before="140" w:after="60" w:line="259" w:lineRule="auto"/>
      </w:pPr>
      <w:r>
        <w:rPr>
          <w:rFonts w:ascii="黑体" w:hAnsi="黑体" w:eastAsia="黑体" w:cs="黑体"/>
          <w:b/>
          <w:sz w:val="23"/>
        </w:rPr>
        <w:t>配置能力刻画</w:t>
      </w:r>
    </w:p>
    <w:p>
      <w:pPr>
        <w:spacing w:before="0" w:after="60" w:line="307" w:lineRule="auto"/>
        <w:ind w:firstLine="480"/>
        <w:jc w:val="both"/>
      </w:pPr>
      <w:r>
        <w:rPr>
          <w:rFonts w:ascii="宋体" w:hAnsi="宋体" w:eastAsia="宋体" w:cs="宋体"/>
          <w:b w:val="0"/>
          <w:sz w:val="24"/>
        </w:rPr>
        <w:t>任相栋在</w:t>
      </w:r>
      <w:r>
        <w:rPr>
          <w:rFonts w:ascii="宋体" w:hAnsi="宋体" w:eastAsia="宋体" w:cs="宋体"/>
          <w:b/>
          <w:sz w:val="24"/>
        </w:rPr>
        <w:t>行业方向选择上具有前瞻性</w:t>
      </w:r>
      <w:r>
        <w:rPr>
          <w:rFonts w:ascii="宋体" w:hAnsi="宋体" w:eastAsia="宋体" w:cs="宋体"/>
          <w:b w:val="0"/>
          <w:sz w:val="24"/>
        </w:rPr>
        <w:t>（如早期重仓制造、TMT，2020年回避消费泡沫），但</w:t>
      </w:r>
      <w:r>
        <w:rPr>
          <w:rFonts w:ascii="宋体" w:hAnsi="宋体" w:eastAsia="宋体" w:cs="宋体"/>
          <w:b/>
          <w:sz w:val="24"/>
        </w:rPr>
        <w:t>单个行业的左侧布局与坚守可能导致阶段性大幅亏损</w:t>
      </w:r>
      <w:r>
        <w:rPr>
          <w:rFonts w:ascii="宋体" w:hAnsi="宋体" w:eastAsia="宋体" w:cs="宋体"/>
          <w:b w:val="0"/>
          <w:sz w:val="24"/>
        </w:rPr>
        <w:t>。其长周期配置能力可定性为：选股方向正确率较高，但集中度和执着度放大了波动，整体超额收益来源于少数成功的长期重仓股。</w:t>
      </w:r>
    </w:p>
    <w:p>
      <w:r>
        <w:br w:type="page"/>
      </w:r>
    </w:p>
    <w:p>
      <w:pPr>
        <w:pStyle w:val="Heading1"/>
        <w:spacing w:before="200" w:after="100" w:line="259" w:lineRule="auto"/>
      </w:pPr>
      <w:r>
        <w:rPr>
          <w:rFonts w:ascii="黑体" w:hAnsi="黑体" w:eastAsia="黑体" w:cs="黑体"/>
          <w:b/>
          <w:sz w:val="30"/>
        </w:rPr>
        <w:t>投资能力</w:t>
      </w:r>
    </w:p>
    <w:p>
      <w:pPr>
        <w:pStyle w:val="Heading3"/>
        <w:spacing w:before="140" w:after="60" w:line="259" w:lineRule="auto"/>
      </w:pPr>
      <w:r>
        <w:rPr>
          <w:rFonts w:ascii="黑体" w:hAnsi="黑体" w:eastAsia="黑体" w:cs="黑体"/>
          <w:b/>
          <w:sz w:val="23"/>
        </w:rPr>
        <w:t>一、能力圈四象限模型</w:t>
      </w:r>
    </w:p>
    <w:p>
      <w:pPr>
        <w:pStyle w:val="Heading3"/>
        <w:spacing w:before="140" w:after="60" w:line="259" w:lineRule="auto"/>
      </w:pPr>
      <w:r>
        <w:rPr>
          <w:rFonts w:ascii="黑体" w:hAnsi="黑体" w:eastAsia="黑体" w:cs="黑体"/>
          <w:b/>
          <w:sz w:val="23"/>
        </w:rPr>
        <w:t>象限一：优势板块·高置信度</w:t>
      </w:r>
    </w:p>
    <w:p>
      <w:pPr>
        <w:spacing w:before="0" w:after="60" w:line="307" w:lineRule="auto"/>
        <w:ind w:firstLine="480"/>
        <w:jc w:val="both"/>
      </w:pPr>
      <w:r>
        <w:rPr>
          <w:rFonts w:ascii="宋体" w:hAnsi="宋体" w:eastAsia="宋体" w:cs="宋体"/>
          <w:b w:val="0"/>
          <w:sz w:val="24"/>
        </w:rPr>
        <w:br/>
      </w:r>
      <w:r>
        <w:rPr>
          <w:rFonts w:ascii="宋体" w:hAnsi="宋体" w:eastAsia="宋体" w:cs="宋体"/>
          <w:b w:val="0"/>
          <w:sz w:val="24"/>
        </w:rPr>
        <w:t>长期重仓（≥4 次）+ 盈利</w:t>
      </w:r>
      <w:r>
        <w:rPr>
          <w:rFonts w:ascii="宋体" w:hAnsi="宋体" w:eastAsia="宋体" w:cs="宋体"/>
          <w:b w:val="0"/>
          <w:sz w:val="24"/>
        </w:rPr>
        <w:br/>
      </w:r>
      <w:r>
        <w:rPr>
          <w:rFonts w:ascii="宋体" w:hAnsi="宋体" w:eastAsia="宋体" w:cs="宋体"/>
          <w:b w:val="0"/>
          <w:sz w:val="24"/>
        </w:rPr>
        <w:t>行业：电力设备(12次，96786万元)，电子(12次，31487万元)，有色金属(5次，21357万元)，国防军工(7次，3596万元)，计算机(4次，310万元)</w:t>
      </w:r>
      <w:r>
        <w:rPr>
          <w:rFonts w:ascii="宋体" w:hAnsi="宋体" w:eastAsia="宋体" w:cs="宋体"/>
          <w:b w:val="0"/>
          <w:sz w:val="24"/>
        </w:rPr>
        <w:br/>
      </w:r>
      <w:r>
        <w:rPr>
          <w:rFonts w:ascii="宋体" w:hAnsi="宋体" w:eastAsia="宋体" w:cs="宋体"/>
          <w:b w:val="0"/>
          <w:sz w:val="24"/>
        </w:rPr>
        <w:t>个股：华鲁恒升(14次，31729万元)，欣旺达(4次，30497万元)，容百科技(10次，29654万元)，鼎龙股份(16次，28024万元)，宁德时代(7次，16524万元)，电连技术(10次，14575万元)，腾讯控股(5次，10763万元)，科博达(12次，8839万元)，亿纬锂能(5次，8336万元)，紫光国微(5次，7840万元)，新泉股份(4次，6641万元)，宏发股份(7次，4711万元)，鸿远电子(10次，2709万元)，海康威视(5次，791万元)</w:t>
      </w:r>
      <w:r>
        <w:rPr>
          <w:rFonts w:ascii="宋体" w:hAnsi="宋体" w:eastAsia="宋体" w:cs="宋体"/>
          <w:b w:val="0"/>
          <w:sz w:val="24"/>
        </w:rPr>
        <w:br/>
      </w:r>
    </w:p>
    <w:p>
      <w:pPr>
        <w:pStyle w:val="Heading3"/>
        <w:spacing w:before="140" w:after="60" w:line="259" w:lineRule="auto"/>
      </w:pPr>
      <w:r>
        <w:rPr>
          <w:rFonts w:ascii="黑体" w:hAnsi="黑体" w:eastAsia="黑体" w:cs="黑体"/>
          <w:b/>
          <w:sz w:val="23"/>
        </w:rPr>
        <w:t>象限二：优势板块·有待验证</w:t>
      </w:r>
    </w:p>
    <w:p>
      <w:pPr>
        <w:spacing w:before="0" w:after="60" w:line="307" w:lineRule="auto"/>
        <w:ind w:firstLine="480"/>
        <w:jc w:val="both"/>
      </w:pPr>
      <w:r>
        <w:rPr>
          <w:rFonts w:ascii="宋体" w:hAnsi="宋体" w:eastAsia="宋体" w:cs="宋体"/>
          <w:b w:val="0"/>
          <w:sz w:val="24"/>
        </w:rPr>
        <w:br/>
      </w:r>
      <w:r>
        <w:rPr>
          <w:rFonts w:ascii="宋体" w:hAnsi="宋体" w:eastAsia="宋体" w:cs="宋体"/>
          <w:b w:val="0"/>
          <w:sz w:val="24"/>
        </w:rPr>
        <w:t>短期重仓（&lt;4 次）+ 盈利</w:t>
      </w:r>
      <w:r>
        <w:rPr>
          <w:rFonts w:ascii="宋体" w:hAnsi="宋体" w:eastAsia="宋体" w:cs="宋体"/>
          <w:b w:val="0"/>
          <w:sz w:val="24"/>
        </w:rPr>
        <w:br/>
      </w:r>
      <w:r>
        <w:rPr>
          <w:rFonts w:ascii="宋体" w:hAnsi="宋体" w:eastAsia="宋体" w:cs="宋体"/>
          <w:b w:val="0"/>
          <w:sz w:val="24"/>
        </w:rPr>
        <w:t>行业：传媒(1次，33776万元)，基础化工(3次，28212万元)，医药生物(2次，21438万元)，家用电器(1次，18737万元)，通信(1次，11398万元)，商贸零售(1次，3680万元)</w:t>
      </w:r>
      <w:r>
        <w:rPr>
          <w:rFonts w:ascii="宋体" w:hAnsi="宋体" w:eastAsia="宋体" w:cs="宋体"/>
          <w:b w:val="0"/>
          <w:sz w:val="24"/>
        </w:rPr>
        <w:br/>
      </w:r>
      <w:r>
        <w:rPr>
          <w:rFonts w:ascii="宋体" w:hAnsi="宋体" w:eastAsia="宋体" w:cs="宋体"/>
          <w:b w:val="0"/>
          <w:sz w:val="24"/>
        </w:rPr>
        <w:t>个股：紫金矿业(3次，24152万元)，芒果超媒(3次，23995万元)，三花智控(3次，11569万元)，紫光股份(3次，8204万元)，永辉超市(3次，5402万元)，美年健康(3次，5155万元)</w:t>
      </w:r>
      <w:r>
        <w:rPr>
          <w:rFonts w:ascii="宋体" w:hAnsi="宋体" w:eastAsia="宋体" w:cs="宋体"/>
          <w:b w:val="0"/>
          <w:sz w:val="24"/>
        </w:rPr>
        <w:br/>
      </w:r>
    </w:p>
    <w:p>
      <w:pPr>
        <w:pStyle w:val="Heading3"/>
        <w:spacing w:before="140" w:after="60" w:line="259" w:lineRule="auto"/>
      </w:pPr>
      <w:r>
        <w:rPr>
          <w:rFonts w:ascii="黑体" w:hAnsi="黑体" w:eastAsia="黑体" w:cs="黑体"/>
          <w:b/>
          <w:sz w:val="23"/>
        </w:rPr>
        <w:t>象限三：劣势板块·菜且爱玩</w:t>
      </w:r>
    </w:p>
    <w:p>
      <w:pPr>
        <w:spacing w:before="0" w:after="60" w:line="307" w:lineRule="auto"/>
        <w:ind w:firstLine="480"/>
        <w:jc w:val="both"/>
      </w:pPr>
      <w:r>
        <w:rPr>
          <w:rFonts w:ascii="宋体" w:hAnsi="宋体" w:eastAsia="宋体" w:cs="宋体"/>
          <w:b w:val="0"/>
          <w:sz w:val="24"/>
        </w:rPr>
        <w:br/>
      </w:r>
      <w:r>
        <w:rPr>
          <w:rFonts w:ascii="宋体" w:hAnsi="宋体" w:eastAsia="宋体" w:cs="宋体"/>
          <w:b w:val="0"/>
          <w:sz w:val="24"/>
        </w:rPr>
        <w:t>长期重仓（≥4 次）+ 亏损</w:t>
      </w:r>
      <w:r>
        <w:rPr>
          <w:rFonts w:ascii="宋体" w:hAnsi="宋体" w:eastAsia="宋体" w:cs="宋体"/>
          <w:b w:val="0"/>
          <w:sz w:val="24"/>
        </w:rPr>
        <w:br/>
      </w:r>
      <w:r>
        <w:rPr>
          <w:rFonts w:ascii="宋体" w:hAnsi="宋体" w:eastAsia="宋体" w:cs="宋体"/>
          <w:b w:val="0"/>
          <w:sz w:val="24"/>
        </w:rPr>
        <w:t>行业：汽车(10次，-71633万元)</w:t>
      </w:r>
      <w:r>
        <w:rPr>
          <w:rFonts w:ascii="宋体" w:hAnsi="宋体" w:eastAsia="宋体" w:cs="宋体"/>
          <w:b w:val="0"/>
          <w:sz w:val="24"/>
        </w:rPr>
        <w:br/>
      </w:r>
      <w:r>
        <w:rPr>
          <w:rFonts w:ascii="宋体" w:hAnsi="宋体" w:eastAsia="宋体" w:cs="宋体"/>
          <w:b w:val="0"/>
          <w:sz w:val="24"/>
        </w:rPr>
        <w:t>个股：海尔智家(4次，-719万元)，中国平安(4次，-2177万元)，裕同科技(11次，-2742万元)，中国中免(4次，-5818万元)，顾家家居(4次，-14052万元)，天宜上佳(5次，-16274万元)，天融信(6次，-17181万元)，华友钴业(16次，-18012万元)，理想汽车-W(5次，-22319万元)，抚顺特钢(9次，-23158万元)，长城汽车(5次，-31076万元)</w:t>
      </w:r>
      <w:r>
        <w:rPr>
          <w:rFonts w:ascii="宋体" w:hAnsi="宋体" w:eastAsia="宋体" w:cs="宋体"/>
          <w:b w:val="0"/>
          <w:sz w:val="24"/>
        </w:rPr>
        <w:br/>
      </w:r>
    </w:p>
    <w:p>
      <w:pPr>
        <w:pStyle w:val="Heading3"/>
        <w:spacing w:before="140" w:after="60" w:line="259" w:lineRule="auto"/>
      </w:pPr>
      <w:r>
        <w:rPr>
          <w:rFonts w:ascii="黑体" w:hAnsi="黑体" w:eastAsia="黑体" w:cs="黑体"/>
          <w:b/>
          <w:sz w:val="23"/>
        </w:rPr>
        <w:t>象限四：劣势板块·能力不足</w:t>
      </w:r>
    </w:p>
    <w:p>
      <w:pPr>
        <w:spacing w:before="0" w:after="60" w:line="307" w:lineRule="auto"/>
        <w:ind w:firstLine="480"/>
        <w:jc w:val="both"/>
      </w:pPr>
      <w:r>
        <w:rPr>
          <w:rFonts w:ascii="宋体" w:hAnsi="宋体" w:eastAsia="宋体" w:cs="宋体"/>
          <w:b w:val="0"/>
          <w:sz w:val="24"/>
        </w:rPr>
        <w:br/>
      </w:r>
      <w:r>
        <w:rPr>
          <w:rFonts w:ascii="宋体" w:hAnsi="宋体" w:eastAsia="宋体" w:cs="宋体"/>
          <w:b w:val="0"/>
          <w:sz w:val="24"/>
        </w:rPr>
        <w:t>短期重仓（&lt;4 次）+ 亏损</w:t>
      </w:r>
      <w:r>
        <w:rPr>
          <w:rFonts w:ascii="宋体" w:hAnsi="宋体" w:eastAsia="宋体" w:cs="宋体"/>
          <w:b w:val="0"/>
          <w:sz w:val="24"/>
        </w:rPr>
        <w:br/>
      </w:r>
      <w:r>
        <w:rPr>
          <w:rFonts w:ascii="宋体" w:hAnsi="宋体" w:eastAsia="宋体" w:cs="宋体"/>
          <w:b w:val="0"/>
          <w:sz w:val="24"/>
        </w:rPr>
        <w:t>行业：非银金融(1次，-489万元)，机械设备(2次，-6915万元)，房地产(1次，-8924万元)，轻工制造(1次，-12732万元)，钢铁(1次，-31374万元)</w:t>
      </w:r>
      <w:r>
        <w:rPr>
          <w:rFonts w:ascii="宋体" w:hAnsi="宋体" w:eastAsia="宋体" w:cs="宋体"/>
          <w:b w:val="0"/>
          <w:sz w:val="24"/>
        </w:rPr>
        <w:br/>
      </w:r>
      <w:r>
        <w:rPr>
          <w:rFonts w:ascii="宋体" w:hAnsi="宋体" w:eastAsia="宋体" w:cs="宋体"/>
          <w:b w:val="0"/>
          <w:sz w:val="24"/>
        </w:rPr>
        <w:t>个股：继峰股份(3次，-1303万元)，万科A(3次，-2751万元)，舜宇光学科技(3次，-8147万元)，广汽集团(3次，-9964万元)，三安光电(3次，-13692万元)，金博股份(3次，-31682万元)</w:t>
      </w:r>
      <w:r>
        <w:rPr>
          <w:rFonts w:ascii="宋体" w:hAnsi="宋体" w:eastAsia="宋体" w:cs="宋体"/>
          <w:b w:val="0"/>
          <w:sz w:val="24"/>
        </w:rPr>
        <w:br/>
      </w:r>
    </w:p>
    <w:p>
      <w:pPr>
        <w:spacing w:before="0" w:after="60" w:line="307" w:lineRule="auto"/>
        <w:ind w:firstLine="480"/>
        <w:jc w:val="both"/>
      </w:pPr>
      <w:r>
        <w:rPr>
          <w:rFonts w:ascii="宋体" w:hAnsi="宋体" w:eastAsia="宋体" w:cs="宋体"/>
          <w:b w:val="0"/>
          <w:sz w:val="24"/>
        </w:rPr>
        <w:t>从未进入前五的行业 盈利行业（未入 Top5） 建筑材料(0次，9281万元)，农林牧渔(0次，6500万元)，纺织服饰(0次，3007万元)，食品饮料(0次，2937万元)，公用事业(0次，192万元)，建筑装饰(0次，142万元)，综合(0次，119万元)</w:t>
      </w:r>
    </w:p>
    <w:p>
      <w:pPr>
        <w:spacing w:before="0" w:after="60" w:line="307" w:lineRule="auto"/>
        <w:ind w:firstLine="480"/>
        <w:jc w:val="both"/>
      </w:pPr>
      <w:r>
        <w:rPr>
          <w:rFonts w:ascii="宋体" w:hAnsi="宋体" w:eastAsia="宋体" w:cs="宋体"/>
          <w:b w:val="0"/>
          <w:sz w:val="24"/>
        </w:rPr>
        <w:t>亏损行业（未入 Top5） 石油石化(0次，-677万元)，美容护理(0次，-833万元)，环保(0次，-1167万元)，交通运输(0次，-1443万元)，银行(0次，-5411万元)，社会服务(0次，-9729万元)</w:t>
      </w:r>
    </w:p>
    <w:p>
      <w:pPr>
        <w:pStyle w:val="Heading3"/>
        <w:spacing w:before="140" w:after="60" w:line="259" w:lineRule="auto"/>
      </w:pPr>
      <w:r>
        <w:rPr>
          <w:rFonts w:ascii="黑体" w:hAnsi="黑体" w:eastAsia="黑体" w:cs="黑体"/>
          <w:b/>
          <w:sz w:val="23"/>
        </w:rPr>
        <w:t>二、能力圈综合评价</w:t>
      </w:r>
    </w:p>
    <w:p>
      <w:pPr>
        <w:spacing w:before="0" w:after="60" w:line="307" w:lineRule="auto"/>
        <w:ind w:firstLine="480"/>
        <w:jc w:val="both"/>
      </w:pPr>
      <w:r>
        <w:rPr>
          <w:rFonts w:ascii="宋体" w:hAnsi="宋体" w:eastAsia="宋体" w:cs="宋体"/>
          <w:b/>
          <w:sz w:val="24"/>
        </w:rPr>
        <w:t>核心壁垒</w:t>
      </w:r>
      <w:r>
        <w:rPr>
          <w:rFonts w:ascii="宋体" w:hAnsi="宋体" w:eastAsia="宋体" w:cs="宋体"/>
          <w:b w:val="0"/>
          <w:sz w:val="24"/>
        </w:rPr>
        <w:t>：任相栋的能力圈高度集中于中国制造业升级，尤其是电力设备、电子和有色金属领域。电力设备以12次重仓贡献9.68亿元盈利，电子12次贡献3.15亿元，有色金属5次贡献2.14亿元，三个象限一行业合计贡献超15亿利润。个股层面，华鲁恒升14次盈利3.17亿、欣旺达4次盈利3.05亿、容百科技10次盈利2.97亿，体现出对化工新能源与电子材料类公司的深度覆盖。这与其在定期报告中反复强调的</w:t>
      </w:r>
      <w:r>
        <w:rPr>
          <w:rFonts w:ascii="宋体" w:hAnsi="宋体" w:eastAsia="宋体" w:cs="宋体"/>
          <w:b/>
          <w:sz w:val="24"/>
        </w:rPr>
        <w:t>“中国向上的产业结构”</w:t>
      </w:r>
      <w:r>
        <w:rPr>
          <w:rFonts w:ascii="宋体" w:hAnsi="宋体" w:eastAsia="宋体" w:cs="宋体"/>
          <w:b w:val="0"/>
          <w:sz w:val="24"/>
        </w:rPr>
        <w:t>、</w:t>
      </w:r>
      <w:r>
        <w:rPr>
          <w:rFonts w:ascii="宋体" w:hAnsi="宋体" w:eastAsia="宋体" w:cs="宋体"/>
          <w:b/>
          <w:sz w:val="24"/>
        </w:rPr>
        <w:t>“以汽车、半导体为代表的产业升级正积极推进”</w:t>
      </w:r>
      <w:r>
        <w:rPr>
          <w:rFonts w:ascii="宋体" w:hAnsi="宋体" w:eastAsia="宋体" w:cs="宋体"/>
          <w:b w:val="0"/>
          <w:sz w:val="24"/>
        </w:rPr>
        <w:t>高度吻合——他擅长的领域正是自身持续看好的方向。</w:t>
      </w:r>
    </w:p>
    <w:p>
      <w:pPr>
        <w:spacing w:before="0" w:after="60" w:line="307" w:lineRule="auto"/>
        <w:ind w:firstLine="480"/>
        <w:jc w:val="both"/>
      </w:pPr>
      <w:r>
        <w:rPr>
          <w:rFonts w:ascii="宋体" w:hAnsi="宋体" w:eastAsia="宋体" w:cs="宋体"/>
          <w:b/>
          <w:sz w:val="24"/>
        </w:rPr>
        <w:t>能力进化</w:t>
      </w:r>
      <w:r>
        <w:rPr>
          <w:rFonts w:ascii="宋体" w:hAnsi="宋体" w:eastAsia="宋体" w:cs="宋体"/>
          <w:b w:val="0"/>
          <w:sz w:val="24"/>
        </w:rPr>
        <w:t>：任相栋在估值纪律上经历了显著迭代。2020年二季报明确表示</w:t>
      </w:r>
      <w:r>
        <w:rPr>
          <w:rFonts w:ascii="宋体" w:hAnsi="宋体" w:eastAsia="宋体" w:cs="宋体"/>
          <w:b/>
          <w:sz w:val="24"/>
        </w:rPr>
        <w:t>“相对回避高估值资产”</w:t>
      </w:r>
      <w:r>
        <w:rPr>
          <w:rFonts w:ascii="宋体" w:hAnsi="宋体" w:eastAsia="宋体" w:cs="宋体"/>
          <w:b w:val="0"/>
          <w:sz w:val="24"/>
        </w:rPr>
        <w:t>，2020年四季报指出</w:t>
      </w:r>
      <w:r>
        <w:rPr>
          <w:rFonts w:ascii="宋体" w:hAnsi="宋体" w:eastAsia="宋体" w:cs="宋体"/>
          <w:b/>
          <w:sz w:val="24"/>
        </w:rPr>
        <w:t>“某些股票的估值泡沫化推高了股票的短期回报，但必然使得长期投资回报下降”</w:t>
      </w:r>
      <w:r>
        <w:rPr>
          <w:rFonts w:ascii="宋体" w:hAnsi="宋体" w:eastAsia="宋体" w:cs="宋体"/>
          <w:b w:val="0"/>
          <w:sz w:val="24"/>
        </w:rPr>
        <w:t>，2021年一季报进一步判断全球资本市场有“降估值”压力。从实际操作看，其</w:t>
      </w:r>
      <w:r>
        <w:rPr>
          <w:rFonts w:ascii="宋体" w:hAnsi="宋体" w:eastAsia="宋体" w:cs="宋体"/>
          <w:b/>
          <w:sz w:val="24"/>
        </w:rPr>
        <w:t>核心资产泡沫化</w:t>
      </w:r>
      <w:r>
        <w:rPr>
          <w:rFonts w:ascii="宋体" w:hAnsi="宋体" w:eastAsia="宋体" w:cs="宋体"/>
          <w:b w:val="0"/>
          <w:sz w:val="24"/>
        </w:rPr>
        <w:t>的警觉并未止于言论：尽管新能源汽车板块长期重仓，但并未大量追高2020-2021年极致上涨的龙头，而是在2023年四季报中反思</w:t>
      </w:r>
      <w:r>
        <w:rPr>
          <w:rFonts w:ascii="宋体" w:hAnsi="宋体" w:eastAsia="宋体" w:cs="宋体"/>
          <w:b/>
          <w:sz w:val="24"/>
        </w:rPr>
        <w:t>“市场共识最为一致的时刻”</w:t>
      </w:r>
      <w:r>
        <w:rPr>
          <w:rFonts w:ascii="宋体" w:hAnsi="宋体" w:eastAsia="宋体" w:cs="宋体"/>
          <w:b w:val="0"/>
          <w:sz w:val="24"/>
        </w:rPr>
        <w:t>，体现出选股框架从单一成长取向向估值-节奏平衡的收敛。</w:t>
      </w:r>
    </w:p>
    <w:p>
      <w:pPr>
        <w:spacing w:before="0" w:after="60" w:line="307" w:lineRule="auto"/>
        <w:ind w:firstLine="480"/>
        <w:jc w:val="both"/>
      </w:pPr>
      <w:r>
        <w:rPr>
          <w:rFonts w:ascii="宋体" w:hAnsi="宋体" w:eastAsia="宋体" w:cs="宋体"/>
          <w:b/>
          <w:sz w:val="24"/>
        </w:rPr>
        <w:t>局限与反思</w:t>
      </w:r>
      <w:r>
        <w:rPr>
          <w:rFonts w:ascii="宋体" w:hAnsi="宋体" w:eastAsia="宋体" w:cs="宋体"/>
          <w:b w:val="0"/>
          <w:sz w:val="24"/>
        </w:rPr>
        <w:t>：汽车行业是任相栋最典型的短板——长期重仓10次却亏损7.16亿元，长城汽车、理想汽车-W、华友钴业等核心标的累计亏损均超1.8亿。这与他在2022年一季报的坦承一致：</w:t>
      </w:r>
      <w:r>
        <w:rPr>
          <w:rFonts w:ascii="宋体" w:hAnsi="宋体" w:eastAsia="宋体" w:cs="宋体"/>
          <w:b/>
          <w:sz w:val="24"/>
        </w:rPr>
        <w:t>“港股投资对本基金业绩拖累明显”</w:t>
      </w:r>
      <w:r>
        <w:rPr>
          <w:rFonts w:ascii="宋体" w:hAnsi="宋体" w:eastAsia="宋体" w:cs="宋体"/>
          <w:b w:val="0"/>
          <w:sz w:val="24"/>
        </w:rPr>
        <w:t>，汽车板块中理想汽车-W等港股标的占比较大。象限四中，广汽集团3次亏损9964万、金博股份3次亏损3.17亿，进一步说明其对新进入的环节（如钢铁、轻工等）缺乏判断优势。任相栋在2023年二季报承认</w:t>
      </w:r>
      <w:r>
        <w:rPr>
          <w:rFonts w:ascii="宋体" w:hAnsi="宋体" w:eastAsia="宋体" w:cs="宋体"/>
          <w:b/>
          <w:sz w:val="24"/>
        </w:rPr>
        <w:t>“对以人工智能为主线的行情参与力度非常小”</w:t>
      </w:r>
      <w:r>
        <w:rPr>
          <w:rFonts w:ascii="宋体" w:hAnsi="宋体" w:eastAsia="宋体" w:cs="宋体"/>
          <w:b w:val="0"/>
          <w:sz w:val="24"/>
        </w:rPr>
        <w:t>，反映其对科技趋势性主题的把握能力有限，能力圈拓展较为谨慎。</w:t>
      </w:r>
    </w:p>
    <w:p>
      <w:pPr>
        <w:spacing w:before="0" w:after="60" w:line="307" w:lineRule="auto"/>
        <w:ind w:firstLine="480"/>
        <w:jc w:val="both"/>
      </w:pPr>
      <w:r>
        <w:rPr>
          <w:rFonts w:ascii="宋体" w:hAnsi="宋体" w:eastAsia="宋体" w:cs="宋体"/>
          <w:b/>
          <w:sz w:val="24"/>
        </w:rPr>
        <w:t>总体评价</w:t>
      </w:r>
      <w:r>
        <w:rPr>
          <w:rFonts w:ascii="宋体" w:hAnsi="宋体" w:eastAsia="宋体" w:cs="宋体"/>
          <w:b w:val="0"/>
          <w:sz w:val="24"/>
        </w:rPr>
        <w:t>：当前能力圈成熟度较高但结构不均衡——在制造升级领域（电力设备、电子、化工）积累了深厚壁垒，但汽车整车、消费和金融方向持续亏损，且对新产业主题（AI）介入节奏偏慢。未来需在防御性识别和跨圈研究中投入更多精力，以解决“长板极长、短板明显”的格局。</w:t>
      </w:r>
    </w:p>
    <w:p>
      <w:pPr>
        <w:spacing w:before="20" w:after="40"/>
        <w:jc w:val="center"/>
      </w:pPr>
      <w:r>
        <w:drawing>
          <wp:inline xmlns:a="http://schemas.openxmlformats.org/drawingml/2006/main" xmlns:pic="http://schemas.openxmlformats.org/drawingml/2006/picture">
            <wp:extent cx="9555480" cy="3799642"/>
            <wp:docPr id="1" name="Picture 1"/>
            <wp:cNvGraphicFramePr>
              <a:graphicFrameLocks noChangeAspect="1"/>
            </wp:cNvGraphicFramePr>
            <a:graphic>
              <a:graphicData uri="http://schemas.openxmlformats.org/drawingml/2006/picture">
                <pic:pic>
                  <pic:nvPicPr>
                    <pic:cNvPr id="0" name="part5_chart_01.png"/>
                    <pic:cNvPicPr/>
                  </pic:nvPicPr>
                  <pic:blipFill>
                    <a:blip r:embed="rId9"/>
                    <a:stretch>
                      <a:fillRect/>
                    </a:stretch>
                  </pic:blipFill>
                  <pic:spPr>
                    <a:xfrm>
                      <a:off x="0" y="0"/>
                      <a:ext cx="9555480" cy="3799642"/>
                    </a:xfrm>
                    <a:prstGeom prst="rect"/>
                  </pic:spPr>
                </pic:pic>
              </a:graphicData>
            </a:graphic>
          </wp:inline>
        </w:drawing>
      </w:r>
    </w:p>
    <w:p>
      <w:r>
        <w:br w:type="page"/>
      </w:r>
    </w:p>
    <w:p>
      <w:pPr>
        <w:pStyle w:val="Heading1"/>
        <w:spacing w:before="200" w:after="100" w:line="259" w:lineRule="auto"/>
      </w:pPr>
      <w:r>
        <w:rPr>
          <w:rFonts w:ascii="黑体" w:hAnsi="黑体" w:eastAsia="黑体" w:cs="黑体"/>
          <w:b/>
          <w:sz w:val="30"/>
        </w:rPr>
        <w:t>盈亏洞察</w:t>
      </w:r>
    </w:p>
    <w:p>
      <w:pPr>
        <w:pStyle w:val="Heading3"/>
        <w:spacing w:before="140" w:after="60" w:line="259" w:lineRule="auto"/>
      </w:pPr>
      <w:r>
        <w:rPr>
          <w:rFonts w:ascii="黑体" w:hAnsi="黑体" w:eastAsia="黑体" w:cs="黑体"/>
          <w:b/>
          <w:sz w:val="23"/>
        </w:rPr>
        <w:t>一、收益来源时间序列演进</w:t>
      </w:r>
    </w:p>
    <w:p>
      <w:pPr>
        <w:spacing w:before="0" w:after="60" w:line="307" w:lineRule="auto"/>
        <w:ind w:firstLine="480"/>
        <w:jc w:val="both"/>
      </w:pPr>
      <w:r>
        <w:rPr>
          <w:rFonts w:ascii="宋体" w:hAnsi="宋体" w:eastAsia="宋体" w:cs="宋体"/>
          <w:b w:val="0"/>
          <w:sz w:val="24"/>
        </w:rPr>
        <w:t>任相栋的收益来源依运作时间呈现清晰的阶段性特征：</w:t>
      </w:r>
      <w:r>
        <w:rPr>
          <w:rFonts w:ascii="宋体" w:hAnsi="宋体" w:eastAsia="宋体" w:cs="宋体"/>
          <w:b/>
          <w:sz w:val="24"/>
        </w:rPr>
        <w:t>建仓期均衡布局，爆发期集中盈利，调整期验证框架边界，修复期实现能力圈扩张</w:t>
      </w:r>
      <w:r>
        <w:rPr>
          <w:rFonts w:ascii="宋体" w:hAnsi="宋体" w:eastAsia="宋体" w:cs="宋体"/>
          <w:b w:val="0"/>
          <w:sz w:val="24"/>
        </w:rPr>
        <w:t>。</w:t>
      </w:r>
    </w:p>
    <w:p>
      <w:pPr>
        <w:spacing w:before="0" w:after="60" w:line="307" w:lineRule="auto"/>
        <w:ind w:firstLine="480"/>
        <w:jc w:val="both"/>
      </w:pPr>
      <w:r>
        <w:rPr>
          <w:rFonts w:ascii="宋体" w:hAnsi="宋体" w:eastAsia="宋体" w:cs="宋体"/>
          <w:b/>
          <w:sz w:val="24"/>
        </w:rPr>
        <w:t>2019年四季度（建仓期）</w:t>
      </w:r>
      <w:r>
        <w:rPr>
          <w:rFonts w:ascii="宋体" w:hAnsi="宋体" w:eastAsia="宋体" w:cs="宋体"/>
          <w:b w:val="0"/>
          <w:sz w:val="24"/>
        </w:rPr>
        <w:t>：基金成立于2019年8月，四季度正值建仓窗口。大类收益结构中，周期（16959万元）、制造（13041万元）、金融（11826万元）与TMT（11222万元）四大板块几乎等量齐观，体现</w:t>
      </w:r>
      <w:r>
        <w:rPr>
          <w:rFonts w:ascii="宋体" w:hAnsi="宋体" w:eastAsia="宋体" w:cs="宋体"/>
          <w:b/>
          <w:sz w:val="24"/>
        </w:rPr>
        <w:t>均衡建仓特征</w:t>
      </w:r>
      <w:r>
        <w:rPr>
          <w:rFonts w:ascii="宋体" w:hAnsi="宋体" w:eastAsia="宋体" w:cs="宋体"/>
          <w:b w:val="0"/>
          <w:sz w:val="24"/>
        </w:rPr>
        <w:t>。个股层面，紫金矿业（7375万元）、万科A（7369万元）、广汽集团（7296万元）三者贡献突出，分别对应资源、地产、制造三个方向。任相栋在2019年四季报中明确表示，建仓期“尽量寻找向下空间有限向上有一定弹性的结构性机会”，各行业配置相对均衡。此阶段收益更多来自建仓节奏把握与初期选择，深度研究参与度有限。</w:t>
      </w:r>
    </w:p>
    <w:p>
      <w:pPr>
        <w:spacing w:before="0" w:after="60" w:line="307" w:lineRule="auto"/>
        <w:ind w:firstLine="480"/>
        <w:jc w:val="both"/>
      </w:pPr>
      <w:r>
        <w:rPr>
          <w:rFonts w:ascii="宋体" w:hAnsi="宋体" w:eastAsia="宋体" w:cs="宋体"/>
          <w:b/>
          <w:sz w:val="24"/>
        </w:rPr>
        <w:t>2020年至2021年上半年（收益爆发期）</w:t>
      </w:r>
      <w:r>
        <w:rPr>
          <w:rFonts w:ascii="宋体" w:hAnsi="宋体" w:eastAsia="宋体" w:cs="宋体"/>
          <w:b w:val="0"/>
          <w:sz w:val="24"/>
        </w:rPr>
        <w:t>：这是任相栋任职以来收益最集中的阶段。2020年制造板块贡献87379万元为当年最大盈利来源，其中电力设备（67278万元）一枝独秀。个股中，欣旺达（32356万元）、鸿远电子（29577万元）、华友钴业（20520万元）位列前三。2021年电力设备收益79595万元，占制造大类（89792万元）的绝大部分；容百科技（38343万元）、宏发股份（19441万元）、中国宝安（15591万元）居个股前三，均为</w:t>
      </w:r>
      <w:r>
        <w:rPr>
          <w:rFonts w:ascii="宋体" w:hAnsi="宋体" w:eastAsia="宋体" w:cs="宋体"/>
          <w:b/>
          <w:sz w:val="24"/>
        </w:rPr>
        <w:t>新能源产业链上中游标的</w:t>
      </w:r>
      <w:r>
        <w:rPr>
          <w:rFonts w:ascii="宋体" w:hAnsi="宋体" w:eastAsia="宋体" w:cs="宋体"/>
          <w:b w:val="0"/>
          <w:sz w:val="24"/>
        </w:rPr>
        <w:t>。任相栋在2020年三季报强调“维持自下而上的投资策略”。这一阶段直接验证了他在制造业领域，特别是新能源中上游的选股能力：提前识别电池材料、电子元器件等环节的爆发逻辑，在市场认可前完成布局。</w:t>
      </w:r>
    </w:p>
    <w:p>
      <w:pPr>
        <w:spacing w:before="0" w:after="60" w:line="307" w:lineRule="auto"/>
        <w:ind w:firstLine="480"/>
        <w:jc w:val="both"/>
      </w:pPr>
      <w:r>
        <w:rPr>
          <w:rFonts w:ascii="宋体" w:hAnsi="宋体" w:eastAsia="宋体" w:cs="宋体"/>
          <w:b/>
          <w:sz w:val="24"/>
        </w:rPr>
        <w:t>2021年下半年至2023年（深度调整期）</w:t>
      </w:r>
      <w:r>
        <w:rPr>
          <w:rFonts w:ascii="宋体" w:hAnsi="宋体" w:eastAsia="宋体" w:cs="宋体"/>
          <w:b w:val="0"/>
          <w:sz w:val="24"/>
        </w:rPr>
        <w:t>：前期高收益背后积累的估值压力在2022年系统性下跌中集中释放。2022年制造板块亏损127692万元，TMT亏损81103万元，周期亏损61435万元。个股层面，华友钴业亏损46069万元、宏发股份亏损26018万元、长城汽车亏损29649万元，均为前期涨幅巨大的重仓股。2023年制造板块继续亏损57871万元，TMT小幅盈利5011万元，但不足以扭转全局。任相栋在2022年一季报中承认港股拖累，并在四季报中强调“要相信周期的力量”。这一时期暴露了任相栋能力圈的一个重要边界：</w:t>
      </w:r>
      <w:r>
        <w:rPr>
          <w:rFonts w:ascii="宋体" w:hAnsi="宋体" w:eastAsia="宋体" w:cs="宋体"/>
          <w:b/>
          <w:sz w:val="24"/>
        </w:rPr>
        <w:t>左侧布局且集中持股的基金，在系统性下跌中缺乏对冲机制</w:t>
      </w:r>
      <w:r>
        <w:rPr>
          <w:rFonts w:ascii="宋体" w:hAnsi="宋体" w:eastAsia="宋体" w:cs="宋体"/>
          <w:b w:val="0"/>
          <w:sz w:val="24"/>
        </w:rPr>
        <w:t>，当产业景气度阶段性下行与市场风格背离叠加时，回撤幅度会显著放大。</w:t>
      </w:r>
    </w:p>
    <w:p>
      <w:pPr>
        <w:spacing w:before="0" w:after="60" w:line="307" w:lineRule="auto"/>
        <w:ind w:firstLine="480"/>
        <w:jc w:val="both"/>
      </w:pPr>
      <w:r>
        <w:rPr>
          <w:rFonts w:ascii="宋体" w:hAnsi="宋体" w:eastAsia="宋体" w:cs="宋体"/>
          <w:b/>
          <w:sz w:val="24"/>
        </w:rPr>
        <w:t>2024年至2025年（修复期）</w:t>
      </w:r>
      <w:r>
        <w:rPr>
          <w:rFonts w:ascii="宋体" w:hAnsi="宋体" w:eastAsia="宋体" w:cs="宋体"/>
          <w:b w:val="0"/>
          <w:sz w:val="24"/>
        </w:rPr>
        <w:t>：全阶段累计数据显示，制造与TMT板块开始修复，电力设备（96786万元）、电子（31487万元）重回累计盈利前列。需要说明的是，</w:t>
      </w:r>
      <w:r>
        <w:rPr>
          <w:rFonts w:ascii="宋体" w:hAnsi="宋体" w:eastAsia="宋体" w:cs="宋体"/>
          <w:b/>
          <w:sz w:val="24"/>
        </w:rPr>
        <w:t>该累计数据覆盖整个任职期，并非2024年单年成果</w:t>
      </w:r>
      <w:r>
        <w:rPr>
          <w:rFonts w:ascii="宋体" w:hAnsi="宋体" w:eastAsia="宋体" w:cs="宋体"/>
          <w:b w:val="0"/>
          <w:sz w:val="24"/>
        </w:rPr>
        <w:t>，但反映了长期收益结构的韧性。任相栋在2025年一季报与二季报中指出“A股持续了几年的哑铃型结构可能会发生变化”，并在25年三季报中认为“市场已经形成牛市氛围”。此阶段修复的并非简单承接前期重仓股，而是在AI应用扩散（鼎龙股份累计28024万元、电连技术累计14575万元）和国内经济企稳中寻找新增长点，</w:t>
      </w:r>
      <w:r>
        <w:rPr>
          <w:rFonts w:ascii="宋体" w:hAnsi="宋体" w:eastAsia="宋体" w:cs="宋体"/>
          <w:b/>
          <w:sz w:val="24"/>
        </w:rPr>
        <w:t>体现了从新能源单一赛道向泛科技制造的认知扩张</w:t>
      </w:r>
      <w:r>
        <w:rPr>
          <w:rFonts w:ascii="宋体" w:hAnsi="宋体" w:eastAsia="宋体" w:cs="宋体"/>
          <w:b w:val="0"/>
          <w:sz w:val="24"/>
        </w:rPr>
        <w:t>。</w:t>
      </w:r>
    </w:p>
    <w:p>
      <w:pPr>
        <w:pStyle w:val="Heading3"/>
        <w:spacing w:before="140" w:after="60" w:line="259" w:lineRule="auto"/>
      </w:pPr>
      <w:r>
        <w:rPr>
          <w:rFonts w:ascii="黑体" w:hAnsi="黑体" w:eastAsia="黑体" w:cs="黑体"/>
          <w:b/>
          <w:sz w:val="23"/>
        </w:rPr>
        <w:t>二、关键盈亏来源穿透分析</w:t>
      </w:r>
    </w:p>
    <w:p>
      <w:pPr>
        <w:pStyle w:val="Heading3"/>
        <w:spacing w:before="140" w:after="60" w:line="259" w:lineRule="auto"/>
      </w:pPr>
      <w:r>
        <w:rPr>
          <w:rFonts w:ascii="黑体" w:hAnsi="黑体" w:eastAsia="黑体" w:cs="黑体"/>
          <w:b/>
          <w:sz w:val="23"/>
        </w:rPr>
        <w:t>核心盈利来源：制造业价值发现范式</w:t>
      </w:r>
    </w:p>
    <w:p>
      <w:pPr>
        <w:spacing w:before="0" w:after="60" w:line="307" w:lineRule="auto"/>
        <w:ind w:firstLine="480"/>
        <w:jc w:val="both"/>
      </w:pPr>
      <w:r>
        <w:rPr>
          <w:rFonts w:ascii="宋体" w:hAnsi="宋体" w:eastAsia="宋体" w:cs="宋体"/>
          <w:b/>
          <w:sz w:val="24"/>
        </w:rPr>
        <w:t>电力设备板块</w:t>
      </w:r>
      <w:r>
        <w:rPr>
          <w:rFonts w:ascii="宋体" w:hAnsi="宋体" w:eastAsia="宋体" w:cs="宋体"/>
          <w:b w:val="0"/>
          <w:sz w:val="24"/>
        </w:rPr>
        <w:t>是任相栋生涯最核心的盈利来源，累计贡献96786万元，位列所有一级行业第一。这个数字并非靠一两只股票堆砌，而是通过多只标的不同阶段的接力完成。较早的</w:t>
      </w:r>
      <w:r>
        <w:rPr>
          <w:rFonts w:ascii="宋体" w:hAnsi="宋体" w:eastAsia="宋体" w:cs="宋体"/>
          <w:b/>
          <w:sz w:val="24"/>
        </w:rPr>
        <w:t>欣旺达</w:t>
      </w:r>
      <w:r>
        <w:rPr>
          <w:rFonts w:ascii="宋体" w:hAnsi="宋体" w:eastAsia="宋体" w:cs="宋体"/>
          <w:b w:val="0"/>
          <w:sz w:val="24"/>
        </w:rPr>
        <w:t>在2020年贡献32356万元，</w:t>
      </w:r>
      <w:r>
        <w:rPr>
          <w:rFonts w:ascii="宋体" w:hAnsi="宋体" w:eastAsia="宋体" w:cs="宋体"/>
          <w:b/>
          <w:sz w:val="24"/>
        </w:rPr>
        <w:t>容百科技</w:t>
      </w:r>
      <w:r>
        <w:rPr>
          <w:rFonts w:ascii="宋体" w:hAnsi="宋体" w:eastAsia="宋体" w:cs="宋体"/>
          <w:b w:val="0"/>
          <w:sz w:val="24"/>
        </w:rPr>
        <w:t>在2021年贡献38343万元，</w:t>
      </w:r>
      <w:r>
        <w:rPr>
          <w:rFonts w:ascii="宋体" w:hAnsi="宋体" w:eastAsia="宋体" w:cs="宋体"/>
          <w:b/>
          <w:sz w:val="24"/>
        </w:rPr>
        <w:t>宁德时代</w:t>
      </w:r>
      <w:r>
        <w:rPr>
          <w:rFonts w:ascii="宋体" w:hAnsi="宋体" w:eastAsia="宋体" w:cs="宋体"/>
          <w:b w:val="0"/>
          <w:sz w:val="24"/>
        </w:rPr>
        <w:t>累计盈利16524万元。这些标的的选择逻辑：它们都不是当时市场热炒的“大白马”，而是在产业链中处于“中上游关键环节”的公司——欣旺达是电池模组，容百科技是正极材料，均具有“为产业链做嫁衣”的属性。任相栋在2020年二季报中明确表示“对市场热点的呼应较少，相对回避高估值资产”，说明上述标的在其能力圈内，并非追随热点，而是基于自下而上的产业逻辑选择，买入时估值处于相对合理区间。</w:t>
      </w:r>
    </w:p>
    <w:p>
      <w:pPr>
        <w:spacing w:before="0" w:after="60" w:line="307" w:lineRule="auto"/>
        <w:ind w:firstLine="480"/>
        <w:jc w:val="both"/>
      </w:pPr>
      <w:r>
        <w:rPr>
          <w:rFonts w:ascii="宋体" w:hAnsi="宋体" w:eastAsia="宋体" w:cs="宋体"/>
          <w:b/>
          <w:sz w:val="24"/>
        </w:rPr>
        <w:t>电子板块</w:t>
      </w:r>
      <w:r>
        <w:rPr>
          <w:rFonts w:ascii="宋体" w:hAnsi="宋体" w:eastAsia="宋体" w:cs="宋体"/>
          <w:b w:val="0"/>
          <w:sz w:val="24"/>
        </w:rPr>
        <w:t>是仅次于电力设备的第二大盈利来源（累计31487万元），且盈利模式更为发散。</w:t>
      </w:r>
      <w:r>
        <w:rPr>
          <w:rFonts w:ascii="宋体" w:hAnsi="宋体" w:eastAsia="宋体" w:cs="宋体"/>
          <w:b/>
          <w:sz w:val="24"/>
        </w:rPr>
        <w:t>鼎龙股份</w:t>
      </w:r>
      <w:r>
        <w:rPr>
          <w:rFonts w:ascii="宋体" w:hAnsi="宋体" w:eastAsia="宋体" w:cs="宋体"/>
          <w:b w:val="0"/>
          <w:sz w:val="24"/>
        </w:rPr>
        <w:t>累计贡献28024万元，</w:t>
      </w:r>
      <w:r>
        <w:rPr>
          <w:rFonts w:ascii="宋体" w:hAnsi="宋体" w:eastAsia="宋体" w:cs="宋体"/>
          <w:b/>
          <w:sz w:val="24"/>
        </w:rPr>
        <w:t>芒果超媒</w:t>
      </w:r>
      <w:r>
        <w:rPr>
          <w:rFonts w:ascii="宋体" w:hAnsi="宋体" w:eastAsia="宋体" w:cs="宋体"/>
          <w:b w:val="0"/>
          <w:sz w:val="24"/>
        </w:rPr>
        <w:t>累计贡献23995万元，</w:t>
      </w:r>
      <w:r>
        <w:rPr>
          <w:rFonts w:ascii="宋体" w:hAnsi="宋体" w:eastAsia="宋体" w:cs="宋体"/>
          <w:b/>
          <w:sz w:val="24"/>
        </w:rPr>
        <w:t>先导智能</w:t>
      </w:r>
      <w:r>
        <w:rPr>
          <w:rFonts w:ascii="宋体" w:hAnsi="宋体" w:eastAsia="宋体" w:cs="宋体"/>
          <w:b w:val="0"/>
          <w:sz w:val="24"/>
        </w:rPr>
        <w:t>累计贡献17855万元，</w:t>
      </w:r>
      <w:r>
        <w:rPr>
          <w:rFonts w:ascii="宋体" w:hAnsi="宋体" w:eastAsia="宋体" w:cs="宋体"/>
          <w:b/>
          <w:sz w:val="24"/>
        </w:rPr>
        <w:t>电连技术</w:t>
      </w:r>
      <w:r>
        <w:rPr>
          <w:rFonts w:ascii="宋体" w:hAnsi="宋体" w:eastAsia="宋体" w:cs="宋体"/>
          <w:b w:val="0"/>
          <w:sz w:val="24"/>
        </w:rPr>
        <w:t>累计贡献14575万元。这些标的横跨半导体材料、传媒、自动化设备、连接器多个子行业，共同特征：任相栋对其业务和产业趋势有长期跟踪，在市场未充分定价时完成了布局，并在产业逻辑兑现后获得收益。例如鼎龙股份在2023年单个年度贡献9647万元，恰是半导体国产替代逻辑加速兑现之年。这表明任相栋在泛电子领域的选股并非广泛撒网，而是找到了少量“长坡厚雪”公司，给予较高置信度，通过长期持有来获取产业成长带来的收益。</w:t>
      </w:r>
    </w:p>
    <w:p>
      <w:pPr>
        <w:pStyle w:val="Heading3"/>
        <w:spacing w:before="140" w:after="60" w:line="259" w:lineRule="auto"/>
      </w:pPr>
      <w:r>
        <w:rPr>
          <w:rFonts w:ascii="黑体" w:hAnsi="黑体" w:eastAsia="黑体" w:cs="黑体"/>
          <w:b/>
          <w:sz w:val="23"/>
        </w:rPr>
        <w:t>主要亏损来源：三类风险暴露</w:t>
      </w:r>
    </w:p>
    <w:p>
      <w:pPr>
        <w:spacing w:before="0" w:after="60" w:line="307" w:lineRule="auto"/>
        <w:ind w:firstLine="480"/>
        <w:jc w:val="both"/>
      </w:pPr>
      <w:r>
        <w:rPr>
          <w:rFonts w:ascii="宋体" w:hAnsi="宋体" w:eastAsia="宋体" w:cs="宋体"/>
          <w:b/>
          <w:sz w:val="24"/>
        </w:rPr>
        <w:t>汽车板块</w:t>
      </w:r>
      <w:r>
        <w:rPr>
          <w:rFonts w:ascii="宋体" w:hAnsi="宋体" w:eastAsia="宋体" w:cs="宋体"/>
          <w:b w:val="0"/>
          <w:sz w:val="24"/>
        </w:rPr>
        <w:t>是亏损规模最大的行业，累计亏损71633万元。其中</w:t>
      </w:r>
      <w:r>
        <w:rPr>
          <w:rFonts w:ascii="宋体" w:hAnsi="宋体" w:eastAsia="宋体" w:cs="宋体"/>
          <w:b/>
          <w:sz w:val="24"/>
        </w:rPr>
        <w:t>长城汽车</w:t>
      </w:r>
      <w:r>
        <w:rPr>
          <w:rFonts w:ascii="宋体" w:hAnsi="宋体" w:eastAsia="宋体" w:cs="宋体"/>
          <w:b w:val="0"/>
          <w:sz w:val="24"/>
        </w:rPr>
        <w:t>亏损31076万元，</w:t>
      </w:r>
      <w:r>
        <w:rPr>
          <w:rFonts w:ascii="宋体" w:hAnsi="宋体" w:eastAsia="宋体" w:cs="宋体"/>
          <w:b/>
          <w:sz w:val="24"/>
        </w:rPr>
        <w:t>广汽集团</w:t>
      </w:r>
      <w:r>
        <w:rPr>
          <w:rFonts w:ascii="宋体" w:hAnsi="宋体" w:eastAsia="宋体" w:cs="宋体"/>
          <w:b w:val="0"/>
          <w:sz w:val="24"/>
        </w:rPr>
        <w:t>亏损9964万元，</w:t>
      </w:r>
      <w:r>
        <w:rPr>
          <w:rFonts w:ascii="宋体" w:hAnsi="宋体" w:eastAsia="宋体" w:cs="宋体"/>
          <w:b/>
          <w:sz w:val="24"/>
        </w:rPr>
        <w:t>吉利汽车</w:t>
      </w:r>
      <w:r>
        <w:rPr>
          <w:rFonts w:ascii="宋体" w:hAnsi="宋体" w:eastAsia="宋体" w:cs="宋体"/>
          <w:b w:val="0"/>
          <w:sz w:val="24"/>
        </w:rPr>
        <w:t>亏损14934万元。分析亏损成因：广汽集团在2019年四季度贡献7296万元（建仓期），但2020年亏损16499万元、2021年亏损761万元，建仓时点恰好在行业估值高点。长城汽车在2021年亏损6019万元、2022年亏损29649万元，是典型的</w:t>
      </w:r>
      <w:r>
        <w:rPr>
          <w:rFonts w:ascii="宋体" w:hAnsi="宋体" w:eastAsia="宋体" w:cs="宋体"/>
          <w:b/>
          <w:sz w:val="24"/>
        </w:rPr>
        <w:t>左侧抄底后遭遇产业景气度超预期下行</w:t>
      </w:r>
      <w:r>
        <w:rPr>
          <w:rFonts w:ascii="宋体" w:hAnsi="宋体" w:eastAsia="宋体" w:cs="宋体"/>
          <w:b w:val="0"/>
          <w:sz w:val="24"/>
        </w:rPr>
        <w:t>。任相栋在2020年二季报中坦言“对市场热点的呼应较少”，但汽车板块的亏损说明：</w:t>
      </w:r>
      <w:r>
        <w:rPr>
          <w:rFonts w:ascii="宋体" w:hAnsi="宋体" w:eastAsia="宋体" w:cs="宋体"/>
          <w:b/>
          <w:sz w:val="24"/>
        </w:rPr>
        <w:t>当他选择在行业低谷加仓时，左侧判断一旦失误，亏损幅度远超预期</w:t>
      </w:r>
      <w:r>
        <w:rPr>
          <w:rFonts w:ascii="宋体" w:hAnsi="宋体" w:eastAsia="宋体" w:cs="宋体"/>
          <w:b w:val="0"/>
          <w:sz w:val="24"/>
        </w:rPr>
        <w:t>。这一亏损核心边界在于：对汽车产业竞争格局的判断可能过于乐观，低估了传统车企向电动化转型的困难程度和市值收缩速度。</w:t>
      </w:r>
    </w:p>
    <w:p>
      <w:pPr>
        <w:spacing w:before="0" w:after="60" w:line="307" w:lineRule="auto"/>
        <w:ind w:firstLine="480"/>
        <w:jc w:val="both"/>
      </w:pPr>
      <w:r>
        <w:rPr>
          <w:rFonts w:ascii="宋体" w:hAnsi="宋体" w:eastAsia="宋体" w:cs="宋体"/>
          <w:b/>
          <w:sz w:val="24"/>
        </w:rPr>
        <w:t>有色金属板块</w:t>
      </w:r>
      <w:r>
        <w:rPr>
          <w:rFonts w:ascii="宋体" w:hAnsi="宋体" w:eastAsia="宋体" w:cs="宋体"/>
          <w:b w:val="0"/>
          <w:sz w:val="24"/>
        </w:rPr>
        <w:t>以华友钴业（累计亏损18012万元）、紫金矿业（累计盈利24152万元）为代表，呈现高度分化。紫金矿业盈利得益于其在多个年度均实现正收益（2019年7375万元、2020年12974万元、2021年3258万元），属持续贡献；而华友钴业在2021年贡献15308万元盈利，却在2022年亏损46069万元，从最大盈利股变成最大亏损股。这暴露了任相栋在</w:t>
      </w:r>
      <w:r>
        <w:rPr>
          <w:rFonts w:ascii="宋体" w:hAnsi="宋体" w:eastAsia="宋体" w:cs="宋体"/>
          <w:b/>
          <w:sz w:val="24"/>
        </w:rPr>
        <w:t>高位加仓</w:t>
      </w:r>
      <w:r>
        <w:rPr>
          <w:rFonts w:ascii="宋体" w:hAnsi="宋体" w:eastAsia="宋体" w:cs="宋体"/>
          <w:b w:val="0"/>
          <w:sz w:val="24"/>
        </w:rPr>
        <w:t>方面的风险：华友钴业在2021年已是新能源材料的明星股，任相栋选择继续重仓持有，虽然当年获得了大额盈利，但市场估值见顶后，回撤幅度远超预期。这个案例说明，当任相栋对一个产业逻辑产生足够强的信仰（如新能源上游材料）时，倾向于在景气高点依然保持高仓位，这对组合防御性构成压力。</w:t>
      </w:r>
    </w:p>
    <w:p>
      <w:pPr>
        <w:spacing w:before="0" w:after="60" w:line="307" w:lineRule="auto"/>
        <w:ind w:firstLine="480"/>
        <w:jc w:val="both"/>
      </w:pPr>
      <w:r>
        <w:rPr>
          <w:rFonts w:ascii="宋体" w:hAnsi="宋体" w:eastAsia="宋体" w:cs="宋体"/>
          <w:b/>
          <w:sz w:val="24"/>
        </w:rPr>
        <w:t>金融板块</w:t>
      </w:r>
      <w:r>
        <w:rPr>
          <w:rFonts w:ascii="宋体" w:hAnsi="宋体" w:eastAsia="宋体" w:cs="宋体"/>
          <w:b w:val="0"/>
          <w:sz w:val="24"/>
        </w:rPr>
        <w:t>累计亏损14824万元，亏损幅度相对较小，但更具方法论意义。银行（累计亏损5411万元）、非银金融（-489万元）虽然在2019年四季度建仓期贡献正收益（房地产9615万元、非银金融1350万元、银行861万元），但后来持续成为拖累。这反映出任相栋能力圈的一个结构性空白：</w:t>
      </w:r>
      <w:r>
        <w:rPr>
          <w:rFonts w:ascii="宋体" w:hAnsi="宋体" w:eastAsia="宋体" w:cs="宋体"/>
          <w:b/>
          <w:sz w:val="24"/>
        </w:rPr>
        <w:t>当宏观/政策因素主导行业表现时（如2021年后地产政策收紧），自下而上择股无法提供有效保护，行业层面的系统性下行使个股选择难以逆转</w:t>
      </w:r>
      <w:r>
        <w:rPr>
          <w:rFonts w:ascii="宋体" w:hAnsi="宋体" w:eastAsia="宋体" w:cs="宋体"/>
          <w:b w:val="0"/>
          <w:sz w:val="24"/>
        </w:rPr>
        <w:t>。</w:t>
      </w:r>
    </w:p>
    <w:p>
      <w:pPr>
        <w:pStyle w:val="Heading3"/>
        <w:spacing w:before="140" w:after="60" w:line="259" w:lineRule="auto"/>
      </w:pPr>
      <w:r>
        <w:rPr>
          <w:rFonts w:ascii="黑体" w:hAnsi="黑体" w:eastAsia="黑体" w:cs="黑体"/>
          <w:b/>
          <w:sz w:val="23"/>
        </w:rPr>
        <w:t>三、核心问题：赚什么钱，如何赚钱</w:t>
      </w:r>
    </w:p>
    <w:p>
      <w:pPr>
        <w:spacing w:before="0" w:after="60" w:line="307" w:lineRule="auto"/>
        <w:ind w:firstLine="480"/>
        <w:jc w:val="both"/>
      </w:pPr>
      <w:r>
        <w:rPr>
          <w:rFonts w:ascii="宋体" w:hAnsi="宋体" w:eastAsia="宋体" w:cs="宋体"/>
          <w:b w:val="0"/>
          <w:sz w:val="24"/>
        </w:rPr>
        <w:t>任相栋的收益核心可以概括为一句话：</w:t>
      </w:r>
      <w:r>
        <w:rPr>
          <w:rFonts w:ascii="宋体" w:hAnsi="宋体" w:eastAsia="宋体" w:cs="宋体"/>
          <w:b/>
          <w:sz w:val="24"/>
        </w:rPr>
        <w:t>赚的是“制造业中上游企业在产业加速期进入能力圈且市场未形成共识时的价格发现”钱</w:t>
      </w:r>
      <w:r>
        <w:rPr>
          <w:rFonts w:ascii="宋体" w:hAnsi="宋体" w:eastAsia="宋体" w:cs="宋体"/>
          <w:b w:val="0"/>
          <w:sz w:val="24"/>
        </w:rPr>
        <w:t>。这个收益来源不是简单的增速或景气度，而是建立在对所追踪产业的深度理解之上，通过左侧布局最终在共识形成时兑现的“逆向价值发现”。以下拆解为三条相互支撑的机制。</w:t>
      </w:r>
    </w:p>
    <w:p>
      <w:pPr>
        <w:pStyle w:val="Heading3"/>
        <w:spacing w:before="140" w:after="60" w:line="259" w:lineRule="auto"/>
      </w:pPr>
      <w:r>
        <w:rPr>
          <w:rFonts w:ascii="黑体" w:hAnsi="黑体" w:eastAsia="黑体" w:cs="黑体"/>
          <w:b/>
          <w:sz w:val="23"/>
        </w:rPr>
        <w:t>制造业价值发现</w:t>
      </w:r>
    </w:p>
    <w:p>
      <w:pPr>
        <w:spacing w:before="0" w:after="60" w:line="307" w:lineRule="auto"/>
        <w:ind w:firstLine="480"/>
        <w:jc w:val="both"/>
      </w:pPr>
      <w:r>
        <w:rPr>
          <w:rFonts w:ascii="宋体" w:hAnsi="宋体" w:eastAsia="宋体" w:cs="宋体"/>
          <w:b w:val="0"/>
          <w:sz w:val="24"/>
        </w:rPr>
        <w:t>制造业是任相栋收益的基本盘。他赚钱的方式是从“产业链关键环节”切入，寻找有能力从“零部件供应商”成长为“解决方案提供者”或“模块化平台”的公司。欣旺达、容百科技、先导智能、鼎龙股份都是这一逻辑的典型代表。这些标的的共同点是：</w:t>
      </w:r>
      <w:r>
        <w:rPr>
          <w:rFonts w:ascii="宋体" w:hAnsi="宋体" w:eastAsia="宋体" w:cs="宋体"/>
          <w:b/>
          <w:sz w:val="24"/>
        </w:rPr>
        <w:t>技术上具有护城河（材料/工艺/客户粘性），商业模式上从卖单一产品走向卖系统方案，股价在买入时尚未被市场完全理解</w:t>
      </w:r>
      <w:r>
        <w:rPr>
          <w:rFonts w:ascii="宋体" w:hAnsi="宋体" w:eastAsia="宋体" w:cs="宋体"/>
          <w:b w:val="0"/>
          <w:sz w:val="24"/>
        </w:rPr>
        <w:t>。任相栋在2020年三季报—四季报中反复强调“自下而上选股，行业配置均衡”，并指出寻找“不在聚光灯下的细分龙头”，说明他主动避开“显性成长股”，更偏爱获得产业进展但市场定价尚不充分的公司。这一机制的核心缺陷是：当一个公司从“冷门”变成“明星”（如华友钴业在2021年），他倾向于继续持有，导致在估值泡沫中依然保持较大敞口，组合层面的防御力不足。</w:t>
      </w:r>
    </w:p>
    <w:p>
      <w:pPr>
        <w:pStyle w:val="Heading3"/>
        <w:spacing w:before="140" w:after="60" w:line="259" w:lineRule="auto"/>
      </w:pPr>
      <w:r>
        <w:rPr>
          <w:rFonts w:ascii="黑体" w:hAnsi="黑体" w:eastAsia="黑体" w:cs="黑体"/>
          <w:b/>
          <w:sz w:val="23"/>
        </w:rPr>
        <w:t>左侧逆向布局</w:t>
      </w:r>
    </w:p>
    <w:p>
      <w:pPr>
        <w:spacing w:before="0" w:after="60" w:line="307" w:lineRule="auto"/>
        <w:ind w:firstLine="480"/>
        <w:jc w:val="both"/>
      </w:pPr>
      <w:r>
        <w:rPr>
          <w:rFonts w:ascii="宋体" w:hAnsi="宋体" w:eastAsia="宋体" w:cs="宋体"/>
          <w:b w:val="0"/>
          <w:sz w:val="24"/>
        </w:rPr>
        <w:t>这是任相栋收益实现的关键机制，也是他亏损的最大来源。他不是一个趋势跟踪者，而是有明显</w:t>
      </w:r>
      <w:r>
        <w:rPr>
          <w:rFonts w:ascii="宋体" w:hAnsi="宋体" w:eastAsia="宋体" w:cs="宋体"/>
          <w:b/>
          <w:sz w:val="24"/>
        </w:rPr>
        <w:t>逆向偏好的选股者</w:t>
      </w:r>
      <w:r>
        <w:rPr>
          <w:rFonts w:ascii="宋体" w:hAnsi="宋体" w:eastAsia="宋体" w:cs="宋体"/>
          <w:b w:val="0"/>
          <w:sz w:val="24"/>
        </w:rPr>
        <w:t>。2020年二季报中他明确表示“低换手，对市场热点的呼应较少，相对回避高估值资产”；2021年一季报中强调减持“高涨幅品种”；2022年四季报中称“要相信周期的力量”。逆向布局的胜率很高，但同时意味着：当判断正确时（如2020年对新能源中上游的布局），能在市场底部完成低成本建仓，收获产业景气上行带来的双击类收益；当判断失误或节奏过早（如2022年在一季度下跌中“没有减仓”），则要承担远超预期的回撤。这种收益模式要求</w:t>
      </w:r>
      <w:r>
        <w:rPr>
          <w:rFonts w:ascii="宋体" w:hAnsi="宋体" w:eastAsia="宋体" w:cs="宋体"/>
          <w:b/>
          <w:sz w:val="24"/>
        </w:rPr>
        <w:t>极高的产业判断置信度</w:t>
      </w:r>
      <w:r>
        <w:rPr>
          <w:rFonts w:ascii="宋体" w:hAnsi="宋体" w:eastAsia="宋体" w:cs="宋体"/>
          <w:b w:val="0"/>
          <w:sz w:val="24"/>
        </w:rPr>
        <w:t>和</w:t>
      </w:r>
      <w:r>
        <w:rPr>
          <w:rFonts w:ascii="宋体" w:hAnsi="宋体" w:eastAsia="宋体" w:cs="宋体"/>
          <w:b/>
          <w:sz w:val="24"/>
        </w:rPr>
        <w:t>资金层面的持仓能力</w:t>
      </w:r>
      <w:r>
        <w:rPr>
          <w:rFonts w:ascii="宋体" w:hAnsi="宋体" w:eastAsia="宋体" w:cs="宋体"/>
          <w:b w:val="0"/>
          <w:sz w:val="24"/>
        </w:rPr>
        <w:t>，一旦其中一个环节出现问题（如判断正确但资金被迫止损，或判断错误但持仓周期过长），构建的收益机制就可能被打破。</w:t>
      </w:r>
    </w:p>
    <w:p>
      <w:pPr>
        <w:pStyle w:val="Heading3"/>
        <w:spacing w:before="140" w:after="60" w:line="259" w:lineRule="auto"/>
      </w:pPr>
      <w:r>
        <w:rPr>
          <w:rFonts w:ascii="黑体" w:hAnsi="黑体" w:eastAsia="黑体" w:cs="黑体"/>
          <w:b/>
          <w:sz w:val="23"/>
        </w:rPr>
        <w:t>避免高估值泡沫与寻求安全边际</w:t>
      </w:r>
    </w:p>
    <w:p>
      <w:pPr>
        <w:spacing w:before="0" w:after="60" w:line="307" w:lineRule="auto"/>
        <w:ind w:firstLine="480"/>
        <w:jc w:val="both"/>
      </w:pPr>
      <w:r>
        <w:rPr>
          <w:rFonts w:ascii="宋体" w:hAnsi="宋体" w:eastAsia="宋体" w:cs="宋体"/>
          <w:b w:val="0"/>
          <w:sz w:val="24"/>
        </w:rPr>
        <w:t>这不是一个独立机制，而是与上一条密切交织的防御性前置条件。任相栋反复警告“核心资产”的泡沫化——2020年年报他指出“A股拥抱龙头的结构性行情有演绎过头的趋势”，2021年一季报指出“全球资本市场有降估值的压力”，2021年二季报进一步强调“核心资产背后的选股逻辑值得学习，但这些被选出来的股票能否持续产生超额收益，持非常谨慎观点”。这一判断让他有效回避了2021年一季度茅指数的大幅回撤，客观上保护了2020年积累的收益。他的收益实际上来自两端的平衡：</w:t>
      </w:r>
      <w:r>
        <w:rPr>
          <w:rFonts w:ascii="宋体" w:hAnsi="宋体" w:eastAsia="宋体" w:cs="宋体"/>
          <w:b/>
          <w:sz w:val="24"/>
        </w:rPr>
        <w:t>在产业加速期敢于以合理估值买入，在共识形成期则主动收缩风险暴露</w:t>
      </w:r>
      <w:r>
        <w:rPr>
          <w:rFonts w:ascii="宋体" w:hAnsi="宋体" w:eastAsia="宋体" w:cs="宋体"/>
          <w:b w:val="0"/>
          <w:sz w:val="24"/>
        </w:rPr>
        <w:t>。这种“避热就冷”的偏好使得他赚的更多是均值回归和产业反转的钱，而非趋势延续的钱。</w:t>
      </w:r>
    </w:p>
    <w:p>
      <w:pPr>
        <w:pStyle w:val="Heading3"/>
        <w:spacing w:before="140" w:after="60" w:line="259" w:lineRule="auto"/>
      </w:pPr>
      <w:r>
        <w:rPr>
          <w:rFonts w:ascii="黑体" w:hAnsi="黑体" w:eastAsia="黑体" w:cs="黑体"/>
          <w:b/>
          <w:sz w:val="23"/>
        </w:rPr>
        <w:t>四、能力圈总结与投资价值</w:t>
      </w:r>
    </w:p>
    <w:p>
      <w:pPr>
        <w:spacing w:before="0" w:after="60" w:line="307" w:lineRule="auto"/>
        <w:ind w:firstLine="480"/>
        <w:jc w:val="both"/>
      </w:pPr>
      <w:r>
        <w:rPr>
          <w:rFonts w:ascii="宋体" w:hAnsi="宋体" w:eastAsia="宋体" w:cs="宋体"/>
          <w:b w:val="0"/>
          <w:sz w:val="24"/>
        </w:rPr>
        <w:t>从盈亏数据反推，任相栋的能力圈清晰且集中：</w:t>
      </w:r>
      <w:r>
        <w:rPr>
          <w:rFonts w:ascii="宋体" w:hAnsi="宋体" w:eastAsia="宋体" w:cs="宋体"/>
          <w:b/>
          <w:sz w:val="24"/>
        </w:rPr>
        <w:t>他擅长的领域是以电力设备和电子为代表的制造业，特别是新能源产业链的中上游环节（材料、器件、设备），也涵盖一些半导体和自动化配套领域</w:t>
      </w:r>
      <w:r>
        <w:rPr>
          <w:rFonts w:ascii="宋体" w:hAnsi="宋体" w:eastAsia="宋体" w:cs="宋体"/>
          <w:b w:val="0"/>
          <w:sz w:val="24"/>
        </w:rPr>
        <w:t>。他在这些领域展现了对技术路线、客户结构、竞争格局的长期跟踪能力，能提前发现处于“从零部件供应向方案集成”转型阶段的公司。累计盈利前十的行业中，电力设备、电子、基础化工、有色金属、家用电器等均属于大制造范畴，合计贡献显著（电力设备96786万元、电子31487万元、基础化工28212万元、有色金属21357万元、家用电器18737万元），说明他的制造业深度研究能力是经过市场检验的。</w:t>
      </w:r>
    </w:p>
    <w:p>
      <w:pPr>
        <w:spacing w:before="0" w:after="60" w:line="307" w:lineRule="auto"/>
        <w:ind w:firstLine="480"/>
        <w:jc w:val="both"/>
      </w:pPr>
      <w:r>
        <w:rPr>
          <w:rFonts w:ascii="宋体" w:hAnsi="宋体" w:eastAsia="宋体" w:cs="宋体"/>
          <w:b w:val="0"/>
          <w:sz w:val="24"/>
        </w:rPr>
        <w:t>能力圈的边界同样清晰。</w:t>
      </w:r>
      <w:r>
        <w:rPr>
          <w:rFonts w:ascii="宋体" w:hAnsi="宋体" w:eastAsia="宋体" w:cs="宋体"/>
          <w:b/>
          <w:sz w:val="24"/>
        </w:rPr>
        <w:t>亏损最集中的两个方向——汽车和金融地产，暴露了他在行业竞争结构判断和宏观驱动型资产上的短板</w:t>
      </w:r>
      <w:r>
        <w:rPr>
          <w:rFonts w:ascii="宋体" w:hAnsi="宋体" w:eastAsia="宋体" w:cs="宋体"/>
          <w:b w:val="0"/>
          <w:sz w:val="24"/>
        </w:rPr>
        <w:t>。汽车行业累计亏损71633万元，核心原因是对传统车企向电动化转型的难度估计不足：他重仓的长城汽车、广汽集团、吉利汽车，虽然在2019年建仓期都有盈利，但后来均出现大幅下跌，反映出他对“传统巨头转型失败风险”的定价明显不足。金融地产行业累计亏损（银行-5411万元、房地产-8924万元）说明，当行业主要由政策和宏观因素驱动时，自下而上的选股无法对抗行业系统性下行。此外，他在小部分股票（华友钴业、长城汽车）上的高位持续持有，暴露出</w:t>
      </w:r>
      <w:r>
        <w:rPr>
          <w:rFonts w:ascii="宋体" w:hAnsi="宋体" w:eastAsia="宋体" w:cs="宋体"/>
          <w:b/>
          <w:sz w:val="24"/>
        </w:rPr>
        <w:t>在单一产业逻辑形成强信仰后，对估值泡沫的容忍度会阶段性上升</w:t>
      </w:r>
      <w:r>
        <w:rPr>
          <w:rFonts w:ascii="宋体" w:hAnsi="宋体" w:eastAsia="宋体" w:cs="宋体"/>
          <w:b w:val="0"/>
          <w:sz w:val="24"/>
        </w:rPr>
        <w:t>，这在2022年的巨幅回撤中得到了痛苦验证。</w:t>
      </w:r>
    </w:p>
    <w:p>
      <w:pPr>
        <w:spacing w:before="0" w:after="60" w:line="307" w:lineRule="auto"/>
        <w:ind w:firstLine="480"/>
        <w:jc w:val="both"/>
      </w:pPr>
      <w:r>
        <w:rPr>
          <w:rFonts w:ascii="宋体" w:hAnsi="宋体" w:eastAsia="宋体" w:cs="宋体"/>
          <w:b w:val="0"/>
          <w:sz w:val="24"/>
        </w:rPr>
        <w:t>从进化角度看，任相栋的能力圈并非静止不变。早期（2019—2020年），他更多靠“产业趋势+自下而上选股”模式，在新能源材料领域斩获大额收益；经过2022—2023年的大幅回撤，他在2023年半年报中承认“对AI主线的参与力度非常小”，但在2024年报告中开始关注AI应用扩散，并通过鼎龙股份、电连技术等标的获得较好回报。这表明，</w:t>
      </w:r>
      <w:r>
        <w:rPr>
          <w:rFonts w:ascii="宋体" w:hAnsi="宋体" w:eastAsia="宋体" w:cs="宋体"/>
          <w:b/>
          <w:sz w:val="24"/>
        </w:rPr>
        <w:t>他在承受了能力圈边界的教训后，有意识地进行了产业跟踪的扩展</w:t>
      </w:r>
      <w:r>
        <w:rPr>
          <w:rFonts w:ascii="宋体" w:hAnsi="宋体" w:eastAsia="宋体" w:cs="宋体"/>
          <w:b w:val="0"/>
          <w:sz w:val="24"/>
        </w:rPr>
        <w:t>，即从单纯的新能源材料向半导体制造、AI应用等领域延伸，但仍坚持对产业逻辑和个股基本面的深度判断，没有转向追热点。</w:t>
      </w:r>
    </w:p>
    <w:p>
      <w:pPr>
        <w:spacing w:before="0" w:after="60" w:line="307" w:lineRule="auto"/>
        <w:ind w:firstLine="480"/>
        <w:jc w:val="both"/>
      </w:pPr>
      <w:r>
        <w:rPr>
          <w:rFonts w:ascii="宋体" w:hAnsi="宋体" w:eastAsia="宋体" w:cs="宋体"/>
          <w:b w:val="0"/>
          <w:sz w:val="24"/>
        </w:rPr>
        <w:t>对投资者而言，任相栋的能力具备以下价值：在非共识领域（未被市场充分定价的制造业细分龙头）的选股效率和收益转化能力很强。他赚的钱不是市场贝塔，而是基于产业深度认知的阿尔法。同时，投资者需要明白它的前提：持有者必须具备足够的波动承受能力，接受在景气下行周期内可能出现30%甚至更大回撤的可能性。他的收益需要较长的兑现周期（往往2—3年以上），期间可能经历显著的估值波动。</w:t>
      </w:r>
    </w:p>
    <w:p>
      <w:pPr>
        <w:pStyle w:val="Heading3"/>
        <w:spacing w:before="140" w:after="60" w:line="259" w:lineRule="auto"/>
      </w:pPr>
      <w:r>
        <w:rPr>
          <w:rFonts w:ascii="黑体" w:hAnsi="黑体" w:eastAsia="黑体" w:cs="黑体"/>
          <w:b/>
          <w:sz w:val="23"/>
        </w:rPr>
        <w:t>五、差异化收益来源（组合视角）</w:t>
      </w:r>
    </w:p>
    <w:p>
      <w:pPr>
        <w:spacing w:before="0" w:after="60" w:line="307" w:lineRule="auto"/>
        <w:ind w:firstLine="480"/>
        <w:jc w:val="both"/>
      </w:pPr>
      <w:r>
        <w:rPr>
          <w:rFonts w:ascii="宋体" w:hAnsi="宋体" w:eastAsia="宋体" w:cs="宋体"/>
          <w:b w:val="0"/>
          <w:sz w:val="24"/>
        </w:rPr>
        <w:t>任相栋的alpha来源可以凝练为两个标签：</w:t>
      </w:r>
      <w:r>
        <w:rPr>
          <w:rFonts w:ascii="宋体" w:hAnsi="宋体" w:eastAsia="宋体" w:cs="宋体"/>
          <w:b/>
          <w:sz w:val="24"/>
        </w:rPr>
        <w:t>制造业深度研究与逆向选股能力</w:t>
      </w:r>
      <w:r>
        <w:rPr>
          <w:rFonts w:ascii="宋体" w:hAnsi="宋体" w:eastAsia="宋体" w:cs="宋体"/>
          <w:b w:val="0"/>
          <w:sz w:val="24"/>
        </w:rPr>
        <w:t>。这与常见的宽基基金（主要依靠与指数相似的行业暴露获取贝塔收益）有着本质不同。他的收益并非来自对整体市场风格或板块轮动的精确判断（事实上他在2021—2023年期间明显不适应市场存量博弈特征），也非来自高频交易或短期景气捕捉，而是来自</w:t>
      </w:r>
      <w:r>
        <w:rPr>
          <w:rFonts w:ascii="宋体" w:hAnsi="宋体" w:eastAsia="宋体" w:cs="宋体"/>
          <w:b/>
          <w:sz w:val="24"/>
        </w:rPr>
        <w:t>对特定产业环节的长期跟踪和在市场共识尚未形成时的先行配置</w:t>
      </w:r>
      <w:r>
        <w:rPr>
          <w:rFonts w:ascii="宋体" w:hAnsi="宋体" w:eastAsia="宋体" w:cs="宋体"/>
          <w:b w:val="0"/>
          <w:sz w:val="24"/>
        </w:rPr>
        <w:t>。</w:t>
      </w:r>
    </w:p>
    <w:p>
      <w:pPr>
        <w:spacing w:before="0" w:after="60" w:line="307" w:lineRule="auto"/>
        <w:ind w:firstLine="480"/>
        <w:jc w:val="both"/>
      </w:pPr>
      <w:r>
        <w:rPr>
          <w:rFonts w:ascii="宋体" w:hAnsi="宋体" w:eastAsia="宋体" w:cs="宋体"/>
          <w:b w:val="0"/>
          <w:sz w:val="24"/>
        </w:rPr>
        <w:t>与同类成长风格基金相比，任相栋的差异性主要体现在三个维度：</w:t>
      </w:r>
      <w:r>
        <w:rPr>
          <w:rFonts w:ascii="宋体" w:hAnsi="宋体" w:eastAsia="宋体" w:cs="宋体"/>
          <w:b/>
          <w:sz w:val="24"/>
        </w:rPr>
        <w:t>持仓周期更长</w:t>
      </w:r>
      <w:r>
        <w:rPr>
          <w:rFonts w:ascii="宋体" w:hAnsi="宋体" w:eastAsia="宋体" w:cs="宋体"/>
          <w:b w:val="0"/>
          <w:sz w:val="24"/>
        </w:rPr>
        <w:t>（部分重仓股如鼎龙股份从2020年持有至今）、</w:t>
      </w:r>
      <w:r>
        <w:rPr>
          <w:rFonts w:ascii="宋体" w:hAnsi="宋体" w:eastAsia="宋体" w:cs="宋体"/>
          <w:b/>
          <w:sz w:val="24"/>
        </w:rPr>
        <w:t>逆向程度更大</w:t>
      </w:r>
      <w:r>
        <w:rPr>
          <w:rFonts w:ascii="宋体" w:hAnsi="宋体" w:eastAsia="宋体" w:cs="宋体"/>
          <w:b w:val="0"/>
          <w:sz w:val="24"/>
        </w:rPr>
        <w:t>（在行业景气下行时往往选择加仓而非减仓，例如2022年表示“没有减仓”）、</w:t>
      </w:r>
      <w:r>
        <w:rPr>
          <w:rFonts w:ascii="宋体" w:hAnsi="宋体" w:eastAsia="宋体" w:cs="宋体"/>
          <w:b/>
          <w:sz w:val="24"/>
        </w:rPr>
        <w:t>对泡沫化资产的回避更坚决</w:t>
      </w:r>
      <w:r>
        <w:rPr>
          <w:rFonts w:ascii="宋体" w:hAnsi="宋体" w:eastAsia="宋体" w:cs="宋体"/>
          <w:b w:val="0"/>
          <w:sz w:val="24"/>
        </w:rPr>
        <w:t>（多次公开警告核心资产泡沫化，并在2021年减持高涨幅品种）。这种模式决定了它的收益来源与大盘或行业指数并非同源。以2020年为例，当“茅指数”作为核心资产代表大幅上涨时，任相栋的重仓股是欣旺达、鸿远电子等“非茅”标的；当2021年新能源整体爆发时，他持有的是容百科技（正极材料）而非宁德时代（电池龙头），体现了在产业链内部的差异化选股。从结果看，他的业绩在新能源景气上行期弹性较大，但在市场存量博弈或流动性紧缩期，回撤也更为显著。</w:t>
      </w:r>
    </w:p>
    <w:p>
      <w:pPr>
        <w:spacing w:before="0" w:after="60" w:line="307" w:lineRule="auto"/>
        <w:ind w:firstLine="480"/>
        <w:jc w:val="both"/>
      </w:pPr>
      <w:r>
        <w:rPr>
          <w:rFonts w:ascii="宋体" w:hAnsi="宋体" w:eastAsia="宋体" w:cs="宋体"/>
          <w:b w:val="0"/>
          <w:sz w:val="24"/>
        </w:rPr>
        <w:t>在组合配置中，任相栋最适合的角色是</w:t>
      </w:r>
      <w:r>
        <w:rPr>
          <w:rFonts w:ascii="宋体" w:hAnsi="宋体" w:eastAsia="宋体" w:cs="宋体"/>
          <w:b/>
          <w:sz w:val="24"/>
        </w:rPr>
        <w:t>制造业细分行业价值发现的卫星配置</w:t>
      </w:r>
      <w:r>
        <w:rPr>
          <w:rFonts w:ascii="宋体" w:hAnsi="宋体" w:eastAsia="宋体" w:cs="宋体"/>
          <w:b w:val="0"/>
          <w:sz w:val="24"/>
        </w:rPr>
        <w:t>，用来捕捉A股制造业升级过程中的长尾结构性机会。</w:t>
      </w:r>
      <w:r>
        <w:rPr>
          <w:rFonts w:ascii="宋体" w:hAnsi="宋体" w:eastAsia="宋体" w:cs="宋体"/>
          <w:b/>
          <w:sz w:val="24"/>
        </w:rPr>
        <w:t>不适合的角色</w:t>
      </w:r>
      <w:r>
        <w:rPr>
          <w:rFonts w:ascii="宋体" w:hAnsi="宋体" w:eastAsia="宋体" w:cs="宋体"/>
          <w:b w:val="0"/>
          <w:sz w:val="24"/>
        </w:rPr>
        <w:t>是：作为全市场配置的底仓、作为大盘风格或价值风格的代表、作为抗跌属性较强的资产。其业绩与大盘指数相关性较低，在制造业景气上行期能提供很好的增强收益，但在系统性下跌中缺乏保护，需要组合中的固定收益或其他对冲类资产配合。</w:t>
      </w:r>
    </w:p>
    <w:p>
      <w:pPr>
        <w:spacing w:before="0" w:after="60" w:line="307" w:lineRule="auto"/>
        <w:ind w:firstLine="480"/>
        <w:jc w:val="both"/>
      </w:pPr>
      <w:r>
        <w:rPr>
          <w:rFonts w:ascii="宋体" w:hAnsi="宋体" w:eastAsia="宋体" w:cs="宋体"/>
          <w:b w:val="0"/>
          <w:sz w:val="24"/>
        </w:rPr>
        <w:t>后续跟踪应关注以下信号：①科技半导体相关行业持仓的集中度（反映其能力圈扩展方向）；②季度收益中，新增盈利是来自新买入标的还是原有重仓股的利润兑现（判断是否真正实现了能力圈进化）；③在产业景气度企稳时，他是否能够比同业更快地识别出新细分行业的拐点——这是他收益模式能否持续的核心假设。</w:t>
      </w:r>
    </w:p>
    <w:p>
      <w:r>
        <w:br w:type="page"/>
      </w:r>
    </w:p>
    <w:p>
      <w:pPr>
        <w:pStyle w:val="Heading1"/>
        <w:spacing w:before="200" w:after="100" w:line="259" w:lineRule="auto"/>
      </w:pPr>
      <w:r>
        <w:rPr>
          <w:rFonts w:ascii="黑体" w:hAnsi="黑体" w:eastAsia="黑体" w:cs="黑体"/>
          <w:b/>
          <w:sz w:val="30"/>
        </w:rPr>
        <w:t>交易跟踪</w:t>
      </w:r>
    </w:p>
    <w:p>
      <w:pPr>
        <w:pStyle w:val="Heading3"/>
        <w:spacing w:before="140" w:after="60" w:line="259" w:lineRule="auto"/>
      </w:pPr>
      <w:r>
        <w:rPr>
          <w:rFonts w:ascii="黑体" w:hAnsi="黑体" w:eastAsia="黑体" w:cs="黑体"/>
          <w:b/>
          <w:sz w:val="23"/>
        </w:rPr>
        <w:t>一、最新配置直观呈现</w:t>
      </w:r>
    </w:p>
    <w:p>
      <w:pPr>
        <w:pStyle w:val="Heading3"/>
        <w:spacing w:before="140" w:after="60" w:line="259" w:lineRule="auto"/>
      </w:pPr>
      <w:r>
        <w:rPr>
          <w:rFonts w:ascii="黑体" w:hAnsi="黑体" w:eastAsia="黑体" w:cs="黑体"/>
          <w:b/>
          <w:sz w:val="23"/>
        </w:rPr>
        <w:t>大类资产配置及变化</w:t>
      </w:r>
    </w:p>
    <w:p>
      <w:pPr>
        <w:spacing w:before="0" w:after="60" w:line="307" w:lineRule="auto"/>
        <w:ind w:firstLine="480"/>
        <w:jc w:val="both"/>
      </w:pPr>
      <w:r>
        <w:rPr>
          <w:rFonts w:ascii="宋体" w:hAnsi="宋体" w:eastAsia="宋体" w:cs="宋体"/>
          <w:b w:val="0"/>
          <w:sz w:val="24"/>
        </w:rPr>
        <w:t>截至20251231，组合大类配置已显著重仓TMT（35.43%）和制造（34.42%），二者合计占净值比69.85%，周期（16.22%）、金融（3.13%）、消费（2.78%）占比极低。较上期（20250630），加仓路径明确：TMT↑12.10%、金融↑2.92%、周期↑2.14%；减仓方向：消费↓6.20%、制造↓2.25%。制造虽仍为第二大板块，但已被减持，资金从消费和制造向TMT、金融、周期迁移。</w:t>
      </w:r>
    </w:p>
    <w:p>
      <w:pPr>
        <w:pStyle w:val="Heading3"/>
        <w:spacing w:before="140" w:after="60" w:line="259" w:lineRule="auto"/>
      </w:pPr>
      <w:r>
        <w:rPr>
          <w:rFonts w:ascii="黑体" w:hAnsi="黑体" w:eastAsia="黑体" w:cs="黑体"/>
          <w:b/>
          <w:sz w:val="23"/>
        </w:rPr>
        <w:t>申万一级行业配置及变化</w:t>
      </w:r>
    </w:p>
    <w:p>
      <w:pPr>
        <w:spacing w:before="0" w:after="60" w:line="307" w:lineRule="auto"/>
        <w:ind w:firstLine="480"/>
        <w:jc w:val="both"/>
      </w:pPr>
      <w:r>
        <w:rPr>
          <w:rFonts w:ascii="宋体" w:hAnsi="宋体" w:eastAsia="宋体" w:cs="宋体"/>
          <w:b w:val="0"/>
          <w:sz w:val="24"/>
        </w:rPr>
        <w:t>前五大行业依次为：电子（24.96%）、汽车（18.27%）、电力设备（13.12%）、基础化工（10.82%）、通信（5.88%），集中度极高，前两大行业合计43.23%。加仓前三：电子↑9.41%、通信↑5.88%、基础化工↑3.01%；减仓前三：医药生物↓3.66%、有色金属↓3.41%、传媒↓2.74%。电子和通信成为最大增量来源，医药和有色则被系统性清减。</w:t>
      </w:r>
    </w:p>
    <w:p>
      <w:pPr>
        <w:pStyle w:val="Heading3"/>
        <w:spacing w:before="140" w:after="60" w:line="259" w:lineRule="auto"/>
      </w:pPr>
      <w:r>
        <w:rPr>
          <w:rFonts w:ascii="黑体" w:hAnsi="黑体" w:eastAsia="黑体" w:cs="黑体"/>
          <w:b/>
          <w:sz w:val="23"/>
        </w:rPr>
        <w:t>重仓个股配置及变化</w:t>
      </w:r>
    </w:p>
    <w:p>
      <w:pPr>
        <w:spacing w:before="0" w:after="60" w:line="307" w:lineRule="auto"/>
        <w:ind w:firstLine="480"/>
        <w:jc w:val="both"/>
      </w:pPr>
      <w:r>
        <w:rPr>
          <w:rFonts w:ascii="宋体" w:hAnsi="宋体" w:eastAsia="宋体" w:cs="宋体"/>
          <w:b w:val="0"/>
          <w:sz w:val="24"/>
        </w:rPr>
        <w:t>前十大重仓股：电连技术（8.86%）、理想汽车-W（8.59%）、鼎龙股份（8.26%）、华鲁恒升（5.09%）、继峰股份（5.04%）、腾讯控股（4.59%）、科博达（4.34%）、中国平安（2.94%）、新易盛（2.92%）、亿纬锂能（2.81%）。加仓：电连技术（↑0.74%）、鼎龙股份（↑1.38%）、腾讯控股（↑0.42%）；减仓：理想汽车-W（↓1.31%）、华鲁恒升（↓0.40%）、科博达（↓0.64%）、亿纬锂能（↓0.17%）；新进：继峰股份（5.04%）、中国平安（2.94%）、新易盛（2.92%）；退出：阿里巴巴-W（前期5.68%）、华友钴业（前期3.55%）、桐昆股份（前期2.96%）。增持集中于半导体（鼎龙、电连）和互联网（腾讯），减持汽车零部件（科博达、理想），新进汽车内饰（继峰）、保险（平安）、光模块（新易盛）。</w:t>
      </w:r>
    </w:p>
    <w:p>
      <w:pPr>
        <w:pStyle w:val="Heading3"/>
        <w:spacing w:before="140" w:after="60" w:line="259" w:lineRule="auto"/>
      </w:pPr>
      <w:r>
        <w:rPr>
          <w:rFonts w:ascii="黑体" w:hAnsi="黑体" w:eastAsia="黑体" w:cs="黑体"/>
          <w:b/>
          <w:sz w:val="23"/>
        </w:rPr>
        <w:t>二、深刻洞察</w:t>
      </w:r>
    </w:p>
    <w:p>
      <w:pPr>
        <w:pStyle w:val="Heading3"/>
        <w:spacing w:before="140" w:after="60" w:line="259" w:lineRule="auto"/>
      </w:pPr>
      <w:r>
        <w:rPr>
          <w:rFonts w:ascii="黑体" w:hAnsi="黑体" w:eastAsia="黑体" w:cs="黑体"/>
          <w:b/>
          <w:sz w:val="23"/>
        </w:rPr>
        <w:t>当下在买什么</w:t>
      </w:r>
    </w:p>
    <w:p>
      <w:pPr>
        <w:spacing w:before="0" w:after="60" w:line="307" w:lineRule="auto"/>
        <w:ind w:firstLine="480"/>
        <w:jc w:val="both"/>
      </w:pPr>
      <w:r>
        <w:rPr>
          <w:rFonts w:ascii="宋体" w:hAnsi="宋体" w:eastAsia="宋体" w:cs="宋体"/>
          <w:b w:val="0"/>
          <w:sz w:val="24"/>
        </w:rPr>
        <w:t>任相栋本期的加仓行为高度聚焦于科技成长+国产替代主线。电子↑9.41%和通信↑5.88%是增量最大的两个行业，对应重仓股中电连技术（连接器）、鼎龙股份（半导体材料）、新易盛（光模块）的加仓或新进，均指向半导体产业链和AI算力相关的硬件环节。腾讯控股的增持则体现了对平台经济价值重估的参与。这三个标的的共同特征是：产业地位明确、受益于国内资本开支扩张和AI算力需求，且估值较前期泡沫阶段已有消化。同时，加仓基础化工和金融（中国平安新进），反映任相栋并非单纯押注单一赛道，而是在宽基中寻找成本优势或景气拐点类的周期+金融机会，以平衡组合波动。</w:t>
      </w:r>
    </w:p>
    <w:p>
      <w:pPr>
        <w:pStyle w:val="Heading3"/>
        <w:spacing w:before="140" w:after="60" w:line="259" w:lineRule="auto"/>
      </w:pPr>
      <w:r>
        <w:rPr>
          <w:rFonts w:ascii="黑体" w:hAnsi="黑体" w:eastAsia="黑体" w:cs="黑体"/>
          <w:b/>
          <w:sz w:val="23"/>
        </w:rPr>
        <w:t>当下在卖什么</w:t>
      </w:r>
    </w:p>
    <w:p>
      <w:pPr>
        <w:spacing w:before="0" w:after="60" w:line="307" w:lineRule="auto"/>
        <w:ind w:firstLine="480"/>
        <w:jc w:val="both"/>
      </w:pPr>
      <w:r>
        <w:rPr>
          <w:rFonts w:ascii="宋体" w:hAnsi="宋体" w:eastAsia="宋体" w:cs="宋体"/>
          <w:b w:val="0"/>
          <w:sz w:val="24"/>
        </w:rPr>
        <w:t>减仓方向集中在对消费和部分制造资产的收缩。消费大类↓6.20%，对应医药生物↓3.66%、传媒↓2.74%、有色金属↓3.41%——这些板块或依赖居民消费复苏（医药、传媒），或受海外大宗价格压制（有色）。汽车行业↓1.77%但内部结构分化：理想汽车-W和科博达被减仓（分别↓1.31%和↓0.64%），而新进了继峰股份（汽车内饰）——说明任相栋不是简单看空汽车，而是从估值弹性更高的整车和零部件切换至竞争格局更优、估值更低的细分龙头。电力设备↓1.46%，但亿纬锂能仅微降↓0.17%，更像行业层面被动缩量而非刻意减持，对应新能源板块整体仓位仍维持在13%左右。</w:t>
      </w:r>
    </w:p>
    <w:p>
      <w:pPr>
        <w:pStyle w:val="Heading3"/>
        <w:spacing w:before="140" w:after="60" w:line="259" w:lineRule="auto"/>
      </w:pPr>
      <w:r>
        <w:rPr>
          <w:rFonts w:ascii="黑体" w:hAnsi="黑体" w:eastAsia="黑体" w:cs="黑体"/>
          <w:b/>
          <w:sz w:val="23"/>
        </w:rPr>
        <w:t>投资逻辑变了没</w:t>
      </w:r>
    </w:p>
    <w:p>
      <w:pPr>
        <w:spacing w:before="0" w:after="60" w:line="307" w:lineRule="auto"/>
        <w:ind w:firstLine="480"/>
        <w:jc w:val="both"/>
      </w:pPr>
      <w:r>
        <w:rPr>
          <w:rFonts w:ascii="宋体" w:hAnsi="宋体" w:eastAsia="宋体" w:cs="宋体"/>
          <w:b/>
          <w:sz w:val="24"/>
        </w:rPr>
        <w:t>边际调整，未实质性偏移。</w:t>
      </w:r>
      <w:r>
        <w:rPr>
          <w:rFonts w:ascii="宋体" w:hAnsi="宋体" w:eastAsia="宋体" w:cs="宋体"/>
          <w:b w:val="0"/>
          <w:sz w:val="24"/>
        </w:rPr>
        <w:t xml:space="preserve"> 从任相栋过往表述看，他始终强调自下而上选股、产业升级主线（电动智能车、半导体、新能源），并多次提及“降低对核心资产的依赖”。本期重仓从前期相对均衡（消费、制造、周期并存）大幅转向TMT+制造主导，集中度明显提升，但底层的选股逻辑仍是寻找“产业趋势+估值合理”的细分龙头。电子和通信的加仓符合他2021年以来对中国在全球科技浪潮引领地位的判断；减仓消费和部分制造则是放弃基本面疲弱或估值透支的标的，而非放弃整个方法论。核心变化在于集中度：过去他追求行业均衡以控制风险，本期更积极押注半导体和AI链。</w:t>
      </w:r>
    </w:p>
    <w:p>
      <w:pPr>
        <w:pStyle w:val="Heading3"/>
        <w:spacing w:before="140" w:after="60" w:line="259" w:lineRule="auto"/>
      </w:pPr>
      <w:r>
        <w:rPr>
          <w:rFonts w:ascii="黑体" w:hAnsi="黑体" w:eastAsia="黑体" w:cs="黑体"/>
          <w:b/>
          <w:sz w:val="23"/>
        </w:rPr>
        <w:t>未来走向</w:t>
      </w:r>
    </w:p>
    <w:p>
      <w:pPr>
        <w:spacing w:before="0" w:after="60" w:line="307" w:lineRule="auto"/>
        <w:ind w:firstLine="480"/>
        <w:jc w:val="both"/>
      </w:pPr>
      <w:r>
        <w:rPr>
          <w:rFonts w:ascii="宋体" w:hAnsi="宋体" w:eastAsia="宋体" w:cs="宋体"/>
          <w:b w:val="0"/>
          <w:sz w:val="24"/>
        </w:rPr>
        <w:t>当前组合呈现高集中度、高弹性特征。电子+汽车占净值超43%，若AI算力或智能车产业链出现预期修正，净值波动将显著放大。任相栋通过配置基础化工、金融（中国平安）作为安全垫，但二者合计仅约14%，无法对冲科技板块的系统性回调。收益来源高度依赖半导体周期和AI资本开支的持续性；风险在于：若国内AI算力投资放缓或中美科技脱钩加剧，电子仓位可能面临戴维斯双杀。</w:t>
      </w:r>
    </w:p>
    <w:p>
      <w:pPr>
        <w:pStyle w:val="Heading3"/>
        <w:spacing w:before="140" w:after="60" w:line="259" w:lineRule="auto"/>
      </w:pPr>
      <w:r>
        <w:rPr>
          <w:rFonts w:ascii="黑体" w:hAnsi="黑体" w:eastAsia="黑体" w:cs="黑体"/>
          <w:b/>
          <w:sz w:val="23"/>
        </w:rPr>
        <w:t>三、配置建议（组合视角）</w:t>
      </w:r>
    </w:p>
    <w:p>
      <w:pPr>
        <w:pStyle w:val="Heading3"/>
        <w:spacing w:before="140" w:after="60" w:line="259" w:lineRule="auto"/>
      </w:pPr>
      <w:r>
        <w:rPr>
          <w:rFonts w:ascii="黑体" w:hAnsi="黑体" w:eastAsia="黑体" w:cs="黑体"/>
          <w:b/>
          <w:sz w:val="23"/>
        </w:rPr>
        <w:t>持仓决策信号</w:t>
      </w:r>
    </w:p>
    <w:p>
      <w:pPr>
        <w:spacing w:before="0" w:after="60" w:line="307" w:lineRule="auto"/>
        <w:ind w:firstLine="480"/>
        <w:jc w:val="both"/>
      </w:pPr>
      <w:r>
        <w:rPr>
          <w:rFonts w:ascii="宋体" w:hAnsi="宋体" w:eastAsia="宋体" w:cs="宋体"/>
          <w:b/>
          <w:sz w:val="24"/>
        </w:rPr>
        <w:t>逻辑稳健→维持/加仓。</w:t>
      </w:r>
      <w:r>
        <w:rPr>
          <w:rFonts w:ascii="宋体" w:hAnsi="宋体" w:eastAsia="宋体" w:cs="宋体"/>
          <w:b w:val="0"/>
          <w:sz w:val="24"/>
        </w:rPr>
        <w:t xml:space="preserve"> 任相栋的加减仓行为方向清晰，与自身产业升级框架一致，未出现风格漂移。但当前高集中度已接近上限，建议组合层面保持现有配置，不宜额外追加核心仓位，避免单一风格超配风险。若后续继续加仓TMT至40%以上，则应考虑降仓。</w:t>
      </w:r>
    </w:p>
    <w:p>
      <w:pPr>
        <w:pStyle w:val="Heading3"/>
        <w:spacing w:before="140" w:after="60" w:line="259" w:lineRule="auto"/>
      </w:pPr>
      <w:r>
        <w:rPr>
          <w:rFonts w:ascii="黑体" w:hAnsi="黑体" w:eastAsia="黑体" w:cs="黑体"/>
          <w:b/>
          <w:sz w:val="23"/>
        </w:rPr>
        <w:t>角色再确认</w:t>
      </w:r>
    </w:p>
    <w:p>
      <w:pPr>
        <w:spacing w:before="0" w:after="60" w:line="307" w:lineRule="auto"/>
        <w:ind w:firstLine="480"/>
        <w:jc w:val="both"/>
      </w:pPr>
      <w:r>
        <w:rPr>
          <w:rFonts w:ascii="宋体" w:hAnsi="宋体" w:eastAsia="宋体" w:cs="宋体"/>
          <w:b/>
          <w:sz w:val="24"/>
        </w:rPr>
        <w:t>主仓角色维持，但需搭配低相关卫星资产。</w:t>
      </w:r>
      <w:r>
        <w:rPr>
          <w:rFonts w:ascii="宋体" w:hAnsi="宋体" w:eastAsia="宋体" w:cs="宋体"/>
          <w:b w:val="0"/>
          <w:sz w:val="24"/>
        </w:rPr>
        <w:t xml:space="preserve"> 本次变化后，该基金作为“产业升级主题型主仓”的定位更加明确。它不再是原先的均衡配置型底仓，更适合作为组合中进攻性较强的核心品种，占比建议控制在10%-15%，并用宽基指数或价值型基金对冲极端回撤。若组合已持有过多成长风格基金，建议将本基金从“主仓”降为“卫星仓”。</w:t>
      </w:r>
    </w:p>
    <w:p>
      <w:pPr>
        <w:pStyle w:val="Heading3"/>
        <w:spacing w:before="140" w:after="60" w:line="259" w:lineRule="auto"/>
      </w:pPr>
      <w:r>
        <w:rPr>
          <w:rFonts w:ascii="黑体" w:hAnsi="黑体" w:eastAsia="黑体" w:cs="黑体"/>
          <w:b/>
          <w:sz w:val="23"/>
        </w:rPr>
        <w:t>触发再评估的信号</w:t>
      </w:r>
    </w:p>
    <w:p>
      <w:pPr>
        <w:pStyle w:val="ListBullet"/>
        <w:spacing w:before="0" w:after="60" w:line="307" w:lineRule="auto"/>
        <w:jc w:val="both"/>
      </w:pPr>
      <w:r>
        <w:rPr>
          <w:rFonts w:ascii="宋体" w:hAnsi="宋体" w:eastAsia="宋体" w:cs="宋体"/>
          <w:b/>
          <w:sz w:val="24"/>
        </w:rPr>
        <w:t>电子行业占净值比突破30%</w:t>
      </w:r>
      <w:r>
        <w:rPr>
          <w:rFonts w:ascii="宋体" w:hAnsi="宋体" w:eastAsia="宋体" w:cs="宋体"/>
          <w:b w:val="0"/>
          <w:sz w:val="24"/>
        </w:rPr>
        <w:t>：当前为24.96%，若继续上行则集中度进入危险区间。</w:t>
      </w:r>
    </w:p>
    <w:p>
      <w:pPr>
        <w:pStyle w:val="ListBullet"/>
        <w:spacing w:before="0" w:after="60" w:line="307" w:lineRule="auto"/>
        <w:jc w:val="both"/>
      </w:pPr>
      <w:r>
        <w:rPr>
          <w:rFonts w:ascii="宋体" w:hAnsi="宋体" w:eastAsia="宋体" w:cs="宋体"/>
          <w:b/>
          <w:sz w:val="24"/>
        </w:rPr>
        <w:t>前十大集中度突破65%</w:t>
      </w:r>
      <w:r>
        <w:rPr>
          <w:rFonts w:ascii="宋体" w:hAnsi="宋体" w:eastAsia="宋体" w:cs="宋体"/>
          <w:b w:val="0"/>
          <w:sz w:val="24"/>
        </w:rPr>
        <w:t>：当前十大重仓合计约58.2%，若后续新进个股超过2只且均为同一板块，应警惕过度押注。</w:t>
      </w:r>
    </w:p>
    <w:p>
      <w:pPr>
        <w:pStyle w:val="ListBullet"/>
        <w:spacing w:before="0" w:after="60" w:line="307" w:lineRule="auto"/>
        <w:jc w:val="both"/>
      </w:pPr>
      <w:r>
        <w:rPr>
          <w:rFonts w:ascii="宋体" w:hAnsi="宋体" w:eastAsia="宋体" w:cs="宋体"/>
          <w:b/>
          <w:sz w:val="24"/>
        </w:rPr>
        <w:t>汽车仓位再降5%以上</w:t>
      </w:r>
      <w:r>
        <w:rPr>
          <w:rFonts w:ascii="宋体" w:hAnsi="宋体" w:eastAsia="宋体" w:cs="宋体"/>
          <w:b w:val="0"/>
          <w:sz w:val="24"/>
        </w:rPr>
        <w:t>：若从当前18.27%降至13%以下，可能意味着对新能源车产业链信心动摇，需重新审视其产业升级观点是否改变。</w:t>
      </w:r>
    </w:p>
    <w:p>
      <w:pPr>
        <w:pStyle w:val="Heading3"/>
        <w:spacing w:before="140" w:after="60" w:line="259" w:lineRule="auto"/>
      </w:pPr>
      <w:r>
        <w:rPr>
          <w:rFonts w:ascii="黑体" w:hAnsi="黑体" w:eastAsia="黑体" w:cs="黑体"/>
          <w:b/>
          <w:sz w:val="23"/>
        </w:rPr>
        <w:t>适配人群</w:t>
      </w:r>
    </w:p>
    <w:p>
      <w:pPr>
        <w:spacing w:before="0" w:after="60" w:line="307" w:lineRule="auto"/>
        <w:ind w:firstLine="480"/>
        <w:jc w:val="both"/>
      </w:pPr>
      <w:r>
        <w:rPr>
          <w:rFonts w:ascii="宋体" w:hAnsi="宋体" w:eastAsia="宋体" w:cs="宋体"/>
          <w:b w:val="0"/>
          <w:sz w:val="24"/>
        </w:rPr>
        <w:t>适合持有期3年以上、风险承受能力较高、且组合中已有低波动底仓的投资者。不适合短期持有或作为单一持仓；与债基、红利基金搭配后，可有效降低高集中度的净值冲击。</w:t>
      </w:r>
    </w:p>
    <w:p>
      <w:pPr>
        <w:spacing w:before="20" w:after="40"/>
        <w:jc w:val="center"/>
      </w:pPr>
      <w:r>
        <w:drawing>
          <wp:inline xmlns:a="http://schemas.openxmlformats.org/drawingml/2006/main" xmlns:pic="http://schemas.openxmlformats.org/drawingml/2006/picture">
            <wp:extent cx="9555480" cy="5750200"/>
            <wp:docPr id="2" name="Picture 2"/>
            <wp:cNvGraphicFramePr>
              <a:graphicFrameLocks noChangeAspect="1"/>
            </wp:cNvGraphicFramePr>
            <a:graphic>
              <a:graphicData uri="http://schemas.openxmlformats.org/drawingml/2006/picture">
                <pic:pic>
                  <pic:nvPicPr>
                    <pic:cNvPr id="0" name="part7_chart_01.png"/>
                    <pic:cNvPicPr/>
                  </pic:nvPicPr>
                  <pic:blipFill>
                    <a:blip r:embed="rId10"/>
                    <a:stretch>
                      <a:fillRect/>
                    </a:stretch>
                  </pic:blipFill>
                  <pic:spPr>
                    <a:xfrm>
                      <a:off x="0" y="0"/>
                      <a:ext cx="9555480" cy="5750200"/>
                    </a:xfrm>
                    <a:prstGeom prst="rect"/>
                  </pic:spPr>
                </pic:pic>
              </a:graphicData>
            </a:graphic>
          </wp:inline>
        </w:drawing>
      </w:r>
    </w:p>
    <w:p>
      <w:r>
        <w:br w:type="page"/>
      </w:r>
    </w:p>
    <w:p>
      <w:pPr>
        <w:pStyle w:val="Heading1"/>
        <w:spacing w:before="200" w:after="100" w:line="259" w:lineRule="auto"/>
      </w:pPr>
      <w:r>
        <w:rPr>
          <w:rFonts w:ascii="黑体" w:hAnsi="黑体" w:eastAsia="黑体" w:cs="黑体"/>
          <w:b/>
          <w:sz w:val="30"/>
        </w:rPr>
        <w:t>BarraCNE5 因子画像</w:t>
      </w:r>
    </w:p>
    <w:p>
      <w:pPr>
        <w:pStyle w:val="Heading3"/>
        <w:spacing w:before="140" w:after="60" w:line="259" w:lineRule="auto"/>
      </w:pPr>
      <w:r>
        <w:rPr>
          <w:rFonts w:ascii="黑体" w:hAnsi="黑体" w:eastAsia="黑体" w:cs="黑体"/>
          <w:b/>
          <w:sz w:val="23"/>
        </w:rPr>
        <w:t>一、怎么读 BarraCNE5 因子</w:t>
      </w:r>
    </w:p>
    <w:p>
      <w:pPr>
        <w:spacing w:before="0" w:after="60" w:line="307" w:lineRule="auto"/>
        <w:ind w:firstLine="480"/>
        <w:jc w:val="both"/>
      </w:pPr>
      <w:r>
        <w:rPr>
          <w:rFonts w:ascii="宋体" w:hAnsi="宋体" w:eastAsia="宋体" w:cs="宋体"/>
          <w:b w:val="0"/>
          <w:sz w:val="24"/>
        </w:rPr>
        <w:t>BarraCNE5 因子不是收益率，也不是对基金经理能力的直接打分，而是把基金当前持仓穿透到股票层面后，按持仓市值加权得到的一组“风格画像”。它回答的是“这只基金现在更偏向买什么样的股票”，而不是“未来一定能赚多少钱”。</w:t>
      </w:r>
    </w:p>
    <w:p>
      <w:pPr>
        <w:spacing w:before="0" w:after="60" w:line="307" w:lineRule="auto"/>
        <w:ind w:firstLine="480"/>
        <w:jc w:val="both"/>
      </w:pPr>
      <w:r>
        <w:rPr>
          <w:rFonts w:ascii="宋体" w:hAnsi="宋体" w:eastAsia="宋体" w:cs="宋体"/>
          <w:b w:val="0"/>
          <w:sz w:val="24"/>
        </w:rPr>
        <w:t>这些因子值都是经过 Z-score 标准化后的截面分数：0 大致表示与市场平均水平接近，+1 / -1 约等于高于或低于市场平均一倍标准差，+2 / -2 附近才属于非常极端的风格暴露。正负方向本身没有天然好坏，只代表组合更偏向该因子的右侧或左侧含义；真正重要的是它们如何组合在一起。</w:t>
      </w:r>
    </w:p>
    <w:p>
      <w:pPr>
        <w:spacing w:before="0" w:after="60" w:line="307" w:lineRule="auto"/>
        <w:ind w:firstLine="480"/>
        <w:jc w:val="both"/>
      </w:pPr>
      <w:r>
        <w:rPr>
          <w:rFonts w:ascii="宋体" w:hAnsi="宋体" w:eastAsia="宋体" w:cs="宋体"/>
          <w:b w:val="0"/>
          <w:sz w:val="24"/>
        </w:rPr>
        <w:t>阅读时可以按五组来理解：第一，看“大盘 + 价值 + 非线性市值”，判断基金处在大盘/小盘、价值/成长以及是否偏微盘或中等市值的位置；第二，看“盈利收益率 + 成长性”，判断它更像便宜的价值、质量稳定、还是高成长高估值；第三，看“Beta + 动量 + 流动性”，判断它是偏进攻、防御、趋势还是逆向，以及是否拥挤；第四，看“杠杆 + 残差波动”，识别财务风险和个股特异性风险；最后再把这些因子合起来，才能形成完整的风格画像。</w:t>
      </w:r>
    </w:p>
    <w:p>
      <w:pPr>
        <w:pStyle w:val="Heading3"/>
        <w:spacing w:before="140" w:after="60" w:line="259" w:lineRule="auto"/>
      </w:pPr>
      <w:r>
        <w:rPr>
          <w:rFonts w:ascii="黑体" w:hAnsi="黑体" w:eastAsia="黑体" w:cs="黑体"/>
          <w:b/>
          <w:sz w:val="23"/>
        </w:rPr>
        <w:t>二、当前因子画像</w:t>
      </w:r>
    </w:p>
    <w:p>
      <w:pPr>
        <w:spacing w:before="0" w:after="60" w:line="307" w:lineRule="auto"/>
        <w:ind w:firstLine="480"/>
        <w:jc w:val="both"/>
      </w:pPr>
      <w:r>
        <w:rPr>
          <w:rFonts w:ascii="宋体" w:hAnsi="宋体" w:eastAsia="宋体" w:cs="宋体"/>
          <w:b w:val="0"/>
          <w:sz w:val="24"/>
        </w:rPr>
        <w:t>由于2025-12-31单期截面Barra因子数据为空，本报告无法进行具体的因子暴露数值计算与组合含义推演。以下仅保留结构框架，待数据补充后可按本体系补全分析。</w:t>
      </w:r>
    </w:p>
    <w:p>
      <w:pPr>
        <w:pStyle w:val="Heading3"/>
        <w:spacing w:before="140" w:after="60" w:line="259" w:lineRule="auto"/>
      </w:pPr>
      <w:r>
        <w:rPr>
          <w:rFonts w:ascii="黑体" w:hAnsi="黑体" w:eastAsia="黑体" w:cs="黑体"/>
          <w:b/>
          <w:sz w:val="23"/>
        </w:rPr>
        <w:t>市值与估值：大盘+价值+非线性市值</w:t>
      </w:r>
    </w:p>
    <w:p>
      <w:pPr>
        <w:spacing w:before="0" w:after="60" w:line="307" w:lineRule="auto"/>
        <w:ind w:firstLine="480"/>
        <w:jc w:val="both"/>
      </w:pPr>
      <w:r>
        <w:rPr>
          <w:rFonts w:ascii="宋体" w:hAnsi="宋体" w:eastAsia="宋体" w:cs="宋体"/>
          <w:b w:val="0"/>
          <w:sz w:val="24"/>
        </w:rPr>
        <w:t>该组因子需同时利用LNCAP、BTOP、NLSIZE三个数值判断基金在大小盘与价值成长九宫格中的位置，以及是否存在微盘或中等市值偏好。当前数据缺失，无法定位。</w:t>
      </w:r>
    </w:p>
    <w:p>
      <w:pPr>
        <w:pStyle w:val="Heading3"/>
        <w:spacing w:before="140" w:after="60" w:line="259" w:lineRule="auto"/>
      </w:pPr>
      <w:r>
        <w:rPr>
          <w:rFonts w:ascii="黑体" w:hAnsi="黑体" w:eastAsia="黑体" w:cs="黑体"/>
          <w:b/>
          <w:sz w:val="23"/>
        </w:rPr>
        <w:t>盈利与成长：盈利收益率+成长性</w:t>
      </w:r>
    </w:p>
    <w:p>
      <w:pPr>
        <w:spacing w:before="0" w:after="60" w:line="307" w:lineRule="auto"/>
        <w:ind w:firstLine="480"/>
        <w:jc w:val="both"/>
      </w:pPr>
      <w:r>
        <w:rPr>
          <w:rFonts w:ascii="宋体" w:hAnsi="宋体" w:eastAsia="宋体" w:cs="宋体"/>
          <w:b w:val="0"/>
          <w:sz w:val="24"/>
        </w:rPr>
        <w:t>EARNYILD与GROWTH的组合用于判断基金是偏向深度价值（高盈利收益率+低成长）、高质量成长（中低盈利收益率+中高成长）还是高估值主题（低盈利收益率+高成长）。暂无数据支撑。</w:t>
      </w:r>
    </w:p>
    <w:p>
      <w:pPr>
        <w:pStyle w:val="Heading3"/>
        <w:spacing w:before="140" w:after="60" w:line="259" w:lineRule="auto"/>
      </w:pPr>
      <w:r>
        <w:rPr>
          <w:rFonts w:ascii="黑体" w:hAnsi="黑体" w:eastAsia="黑体" w:cs="黑体"/>
          <w:b/>
          <w:sz w:val="23"/>
        </w:rPr>
        <w:t>进攻与交易：Beta+动量+流动性</w:t>
      </w:r>
    </w:p>
    <w:p>
      <w:pPr>
        <w:spacing w:before="0" w:after="60" w:line="307" w:lineRule="auto"/>
        <w:ind w:firstLine="480"/>
        <w:jc w:val="both"/>
      </w:pPr>
      <w:r>
        <w:rPr>
          <w:rFonts w:ascii="宋体" w:hAnsi="宋体" w:eastAsia="宋体" w:cs="宋体"/>
          <w:b w:val="0"/>
          <w:sz w:val="24"/>
        </w:rPr>
        <w:t>BETA反映市场敏感度，RSTR指示趋势追逐或逆向布局，LIQUIDITY体现持仓拥挤度。三者共同刻画基金是激进追涨、均衡跟随还是冷门逆向。本期无数据。</w:t>
      </w:r>
    </w:p>
    <w:p>
      <w:pPr>
        <w:pStyle w:val="Heading3"/>
        <w:spacing w:before="140" w:after="60" w:line="259" w:lineRule="auto"/>
      </w:pPr>
      <w:r>
        <w:rPr>
          <w:rFonts w:ascii="黑体" w:hAnsi="黑体" w:eastAsia="黑体" w:cs="黑体"/>
          <w:b/>
          <w:sz w:val="23"/>
        </w:rPr>
        <w:t>风险形态：杠杆+残差波动</w:t>
      </w:r>
    </w:p>
    <w:p>
      <w:pPr>
        <w:spacing w:before="0" w:after="60" w:line="307" w:lineRule="auto"/>
        <w:ind w:firstLine="480"/>
        <w:jc w:val="both"/>
      </w:pPr>
      <w:r>
        <w:rPr>
          <w:rFonts w:ascii="宋体" w:hAnsi="宋体" w:eastAsia="宋体" w:cs="宋体"/>
          <w:b w:val="0"/>
          <w:sz w:val="24"/>
        </w:rPr>
        <w:t>LEVERAGE揭示底层资产财务杠杆水平，RESVOL度量个股异质性风险。二者帮助判断风险来源——是来自财务脆弱性还是主题性波动。无法分析。</w:t>
      </w:r>
    </w:p>
    <w:p>
      <w:pPr>
        <w:pStyle w:val="Heading3"/>
        <w:spacing w:before="140" w:after="60" w:line="259" w:lineRule="auto"/>
      </w:pPr>
      <w:r>
        <w:rPr>
          <w:rFonts w:ascii="黑体" w:hAnsi="黑体" w:eastAsia="黑体" w:cs="黑体"/>
          <w:b/>
          <w:sz w:val="23"/>
        </w:rPr>
        <w:t>三、适合环境</w:t>
      </w:r>
    </w:p>
    <w:p>
      <w:pPr>
        <w:spacing w:before="0" w:after="60" w:line="307" w:lineRule="auto"/>
        <w:ind w:firstLine="480"/>
        <w:jc w:val="both"/>
      </w:pPr>
      <w:r>
        <w:rPr>
          <w:rFonts w:ascii="宋体" w:hAnsi="宋体" w:eastAsia="宋体" w:cs="宋体"/>
          <w:b w:val="0"/>
          <w:sz w:val="24"/>
        </w:rPr>
        <w:t>无因子数据，无法判断该基金更适配大盘价值/质量红利/成长趋势/反转修复等特定市场环境。</w:t>
      </w:r>
    </w:p>
    <w:p>
      <w:pPr>
        <w:pStyle w:val="Heading3"/>
        <w:spacing w:before="140" w:after="60" w:line="259" w:lineRule="auto"/>
      </w:pPr>
      <w:r>
        <w:rPr>
          <w:rFonts w:ascii="黑体" w:hAnsi="黑体" w:eastAsia="黑体" w:cs="黑体"/>
          <w:b/>
          <w:sz w:val="23"/>
        </w:rPr>
        <w:t>四、配置定位</w:t>
      </w:r>
    </w:p>
    <w:p>
      <w:pPr>
        <w:spacing w:before="0" w:after="60" w:line="307" w:lineRule="auto"/>
        <w:ind w:firstLine="480"/>
        <w:jc w:val="both"/>
      </w:pPr>
      <w:r>
        <w:rPr>
          <w:rFonts w:ascii="宋体" w:hAnsi="宋体" w:eastAsia="宋体" w:cs="宋体"/>
          <w:b w:val="0"/>
          <w:sz w:val="24"/>
        </w:rPr>
        <w:t>无法基于本期因子数据给出定位建议。组合管理者应参考任相栋历史风格（均衡偏成长、自下而上选股）及Part1定性标签进行配置。若后续因子数据可得，可重新评估其在底仓、主仓、卫星等工具中的角色。</w:t>
      </w:r>
    </w:p>
    <w:p>
      <w:pPr>
        <w:pStyle w:val="Heading3"/>
        <w:spacing w:before="140" w:after="60" w:line="259" w:lineRule="auto"/>
      </w:pPr>
      <w:r>
        <w:rPr>
          <w:rFonts w:ascii="黑体" w:hAnsi="黑体" w:eastAsia="黑体" w:cs="黑体"/>
          <w:b/>
          <w:sz w:val="23"/>
        </w:rPr>
        <w:t>五、潜在风险</w:t>
      </w:r>
    </w:p>
    <w:p>
      <w:pPr>
        <w:spacing w:before="0" w:after="60" w:line="307" w:lineRule="auto"/>
        <w:ind w:firstLine="480"/>
        <w:jc w:val="both"/>
      </w:pPr>
      <w:r>
        <w:rPr>
          <w:rFonts w:ascii="宋体" w:hAnsi="宋体" w:eastAsia="宋体" w:cs="宋体"/>
          <w:b w:val="0"/>
          <w:sz w:val="24"/>
        </w:rPr>
        <w:t>无法识别具体因子层面的承压情境。建议关注后续报告期因子暴露的补充数据，届时再分析高Beta下行风险、动量反转等待成本、流动性拥挤踩踏或残差波动个股风险等。</w:t>
      </w:r>
    </w:p>
    <w:p>
      <w:pPr>
        <w:spacing w:before="20" w:after="40"/>
        <w:jc w:val="center"/>
      </w:pPr>
      <w:r>
        <w:drawing>
          <wp:inline xmlns:a="http://schemas.openxmlformats.org/drawingml/2006/main" xmlns:pic="http://schemas.openxmlformats.org/drawingml/2006/picture">
            <wp:extent cx="9555480" cy="4476136"/>
            <wp:docPr id="3" name="Picture 3"/>
            <wp:cNvGraphicFramePr>
              <a:graphicFrameLocks noChangeAspect="1"/>
            </wp:cNvGraphicFramePr>
            <a:graphic>
              <a:graphicData uri="http://schemas.openxmlformats.org/drawingml/2006/picture">
                <pic:pic>
                  <pic:nvPicPr>
                    <pic:cNvPr id="0" name="part8_chart_01.png"/>
                    <pic:cNvPicPr/>
                  </pic:nvPicPr>
                  <pic:blipFill>
                    <a:blip r:embed="rId11"/>
                    <a:stretch>
                      <a:fillRect/>
                    </a:stretch>
                  </pic:blipFill>
                  <pic:spPr>
                    <a:xfrm>
                      <a:off x="0" y="0"/>
                      <a:ext cx="9555480" cy="4476136"/>
                    </a:xfrm>
                    <a:prstGeom prst="rect"/>
                  </pic:spPr>
                </pic:pic>
              </a:graphicData>
            </a:graphic>
          </wp:inline>
        </w:drawing>
      </w:r>
    </w:p>
    <w:sectPr w:rsidR="00FC693F" w:rsidRPr="0006063C" w:rsidSect="00034616">
      <w:pgSz w:w="16834" w:h="11909" w:orient="landscape"/>
      <w:pgMar w:top="720" w:right="893" w:bottom="720" w:left="893"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60" w:line="307" w:lineRule="auto"/>
    </w:pPr>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line="259" w:lineRule="auto"/>
      <w:outlineLvl w:val="0"/>
    </w:pPr>
    <w:rPr>
      <w:rFonts w:asciiTheme="majorHAnsi" w:eastAsiaTheme="majorEastAsia" w:hAnsiTheme="majorHAnsi" w:cstheme="majorBidi" w:ascii="黑体" w:hAnsi="黑体" w:eastAsia="黑体" w:cs="黑体"/>
      <w:b/>
      <w:bCs/>
      <w:color w:val="2F5B9A"/>
      <w:sz w:val="30"/>
      <w:szCs w:val="28"/>
    </w:rPr>
  </w:style>
  <w:style w:type="paragraph" w:styleId="Heading2">
    <w:name w:val="heading 2"/>
    <w:basedOn w:val="Normal"/>
    <w:next w:val="Normal"/>
    <w:link w:val="Heading2Char"/>
    <w:uiPriority w:val="9"/>
    <w:unhideWhenUsed/>
    <w:qFormat/>
    <w:rsid w:val="00FC693F"/>
    <w:pPr>
      <w:keepNext/>
      <w:keepLines/>
      <w:spacing w:before="140" w:after="60" w:line="259" w:lineRule="auto"/>
      <w:outlineLvl w:val="1"/>
    </w:pPr>
    <w:rPr>
      <w:rFonts w:asciiTheme="majorHAnsi" w:eastAsiaTheme="majorEastAsia" w:hAnsiTheme="majorHAnsi" w:cstheme="majorBidi" w:ascii="黑体" w:hAnsi="黑体" w:eastAsia="黑体" w:cs="黑体"/>
      <w:b/>
      <w:bCs/>
      <w:color w:val="2F5B9A"/>
      <w:sz w:val="25"/>
      <w:szCs w:val="26"/>
    </w:rPr>
  </w:style>
  <w:style w:type="paragraph" w:styleId="Heading3">
    <w:name w:val="heading 3"/>
    <w:basedOn w:val="Normal"/>
    <w:next w:val="Normal"/>
    <w:link w:val="Heading3Char"/>
    <w:uiPriority w:val="9"/>
    <w:unhideWhenUsed/>
    <w:qFormat/>
    <w:rsid w:val="00FC693F"/>
    <w:pPr>
      <w:keepNext/>
      <w:keepLines/>
      <w:spacing w:before="140" w:after="60" w:line="259" w:lineRule="auto"/>
      <w:outlineLvl w:val="2"/>
    </w:pPr>
    <w:rPr>
      <w:rFonts w:asciiTheme="majorHAnsi" w:eastAsiaTheme="majorEastAsia" w:hAnsiTheme="majorHAnsi" w:cstheme="majorBidi" w:ascii="黑体" w:hAnsi="黑体" w:eastAsia="黑体" w:cs="黑体"/>
      <w:b/>
      <w:bCs/>
      <w:color w:val="1F4D78"/>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60" w:line="259" w:lineRule="auto" w:before="140"/>
      <w:contextualSpacing/>
    </w:pPr>
    <w:rPr>
      <w:rFonts w:asciiTheme="majorHAnsi" w:eastAsiaTheme="majorEastAsia" w:hAnsiTheme="majorHAnsi" w:cstheme="majorBidi" w:ascii="黑体" w:hAnsi="黑体" w:eastAsia="黑体" w:cs="黑体"/>
      <w:color w:val="111111"/>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40" w:line="293" w:lineRule="auto"/>
      <w:contextualSpacing/>
    </w:pPr>
    <w:rPr>
      <w:rFonts w:ascii="Times New Roman" w:hAnsi="Times New Roman" w:eastAsia="宋体"/>
      <w:sz w:val="24"/>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40" w:line="293" w:lineRule="auto"/>
      <w:contextualSpacing/>
    </w:pPr>
    <w:rPr>
      <w:rFonts w:ascii="Times New Roman" w:hAnsi="Times New Roman" w:eastAsia="宋体"/>
      <w:sz w:val="24"/>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